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495" w:lineRule="atLeast"/>
        <w:ind w:firstLine="406" w:firstLineChars="14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附件1 </w:t>
      </w:r>
    </w:p>
    <w:p>
      <w:pPr>
        <w:pStyle w:val="3"/>
        <w:widowControl/>
        <w:spacing w:beforeAutospacing="0" w:afterAutospacing="0" w:line="495" w:lineRule="atLeast"/>
        <w:ind w:firstLine="464" w:firstLineChars="145"/>
        <w:rPr>
          <w:rFonts w:ascii="仿宋_GB2312" w:hAnsi="仿宋_GB2312" w:eastAsia="仿宋_GB2312" w:cs="仿宋_GB2312"/>
          <w:sz w:val="28"/>
          <w:szCs w:val="28"/>
        </w:rPr>
      </w:pPr>
      <w:r>
        <w:rPr>
          <w:rFonts w:hint="eastAsia" w:ascii="仿宋_GB2312" w:hAnsi="仿宋_GB2312" w:eastAsia="仿宋_GB2312" w:cs="仿宋_GB2312"/>
          <w:sz w:val="32"/>
          <w:szCs w:val="32"/>
        </w:rPr>
        <w:t>注：盘点表和盘亏表通过资产系统盘点，能够直接从系统中导出。</w:t>
      </w:r>
    </w:p>
    <w:tbl>
      <w:tblPr>
        <w:tblStyle w:val="4"/>
        <w:tblW w:w="5000" w:type="pct"/>
        <w:tblInd w:w="0" w:type="dxa"/>
        <w:tblLayout w:type="fixed"/>
        <w:tblCellMar>
          <w:top w:w="0" w:type="dxa"/>
          <w:left w:w="108" w:type="dxa"/>
          <w:bottom w:w="0" w:type="dxa"/>
          <w:right w:w="108" w:type="dxa"/>
        </w:tblCellMar>
      </w:tblPr>
      <w:tblGrid>
        <w:gridCol w:w="653"/>
        <w:gridCol w:w="1092"/>
        <w:gridCol w:w="652"/>
        <w:gridCol w:w="1091"/>
        <w:gridCol w:w="1366"/>
        <w:gridCol w:w="1091"/>
        <w:gridCol w:w="1366"/>
        <w:gridCol w:w="1091"/>
        <w:gridCol w:w="984"/>
        <w:gridCol w:w="1072"/>
        <w:gridCol w:w="2835"/>
        <w:gridCol w:w="833"/>
        <w:gridCol w:w="48"/>
      </w:tblGrid>
      <w:tr>
        <w:tblPrEx>
          <w:tblCellMar>
            <w:top w:w="0" w:type="dxa"/>
            <w:left w:w="108" w:type="dxa"/>
            <w:bottom w:w="0" w:type="dxa"/>
            <w:right w:w="108" w:type="dxa"/>
          </w:tblCellMar>
        </w:tblPrEx>
        <w:trPr>
          <w:trHeight w:val="675" w:hRule="atLeast"/>
        </w:trPr>
        <w:tc>
          <w:tcPr>
            <w:tcW w:w="5000" w:type="pct"/>
            <w:gridSpan w:val="13"/>
            <w:tcBorders>
              <w:top w:val="nil"/>
              <w:left w:val="nil"/>
              <w:bottom w:val="nil"/>
              <w:right w:val="nil"/>
            </w:tcBorders>
            <w:shd w:val="clear" w:color="auto" w:fill="auto"/>
            <w:noWrap/>
            <w:vAlign w:val="center"/>
          </w:tcPr>
          <w:p>
            <w:pPr>
              <w:ind w:firstLine="464" w:firstLineChars="145"/>
              <w:jc w:val="center"/>
              <w:rPr>
                <w:rFonts w:ascii="宋体" w:hAnsi="宋体" w:eastAsia="宋体" w:cs="宋体"/>
                <w:sz w:val="52"/>
                <w:szCs w:val="52"/>
              </w:rPr>
            </w:pPr>
            <w:r>
              <w:rPr>
                <w:rFonts w:hint="eastAsia" w:ascii="仿宋" w:hAnsi="仿宋" w:eastAsia="仿宋"/>
                <w:sz w:val="32"/>
                <w:szCs w:val="32"/>
              </w:rPr>
              <w:br w:type="page"/>
            </w:r>
            <w:r>
              <w:rPr>
                <w:rFonts w:hint="eastAsia" w:ascii="方正小标宋简体" w:hAnsi="方正小标宋简体" w:eastAsia="方正小标宋简体" w:cs="方正小标宋简体"/>
                <w:kern w:val="0"/>
                <w:sz w:val="44"/>
                <w:szCs w:val="44"/>
                <w:lang w:bidi="ar"/>
              </w:rPr>
              <w:t>盘盈表（示例）</w:t>
            </w:r>
          </w:p>
        </w:tc>
      </w:tr>
      <w:tr>
        <w:tblPrEx>
          <w:tblCellMar>
            <w:top w:w="0" w:type="dxa"/>
            <w:left w:w="108" w:type="dxa"/>
            <w:bottom w:w="0" w:type="dxa"/>
            <w:right w:w="108" w:type="dxa"/>
          </w:tblCellMar>
        </w:tblPrEx>
        <w:trPr>
          <w:gridAfter w:val="1"/>
          <w:wAfter w:w="18" w:type="pct"/>
          <w:trHeight w:val="27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序号</w:t>
            </w:r>
          </w:p>
        </w:tc>
        <w:tc>
          <w:tcPr>
            <w:tcW w:w="385"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资产名称</w:t>
            </w:r>
          </w:p>
        </w:tc>
        <w:tc>
          <w:tcPr>
            <w:tcW w:w="23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品牌</w:t>
            </w:r>
          </w:p>
        </w:tc>
        <w:tc>
          <w:tcPr>
            <w:tcW w:w="385"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规格型号</w:t>
            </w:r>
          </w:p>
        </w:tc>
        <w:tc>
          <w:tcPr>
            <w:tcW w:w="482"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出厂日期</w:t>
            </w:r>
          </w:p>
        </w:tc>
        <w:tc>
          <w:tcPr>
            <w:tcW w:w="385"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盘点数量</w:t>
            </w:r>
          </w:p>
        </w:tc>
        <w:tc>
          <w:tcPr>
            <w:tcW w:w="482"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存放地点</w:t>
            </w:r>
          </w:p>
        </w:tc>
        <w:tc>
          <w:tcPr>
            <w:tcW w:w="385"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使用部门</w:t>
            </w:r>
          </w:p>
        </w:tc>
        <w:tc>
          <w:tcPr>
            <w:tcW w:w="347"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使用人</w:t>
            </w:r>
          </w:p>
        </w:tc>
        <w:tc>
          <w:tcPr>
            <w:tcW w:w="378"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资产可能来源</w:t>
            </w:r>
          </w:p>
        </w:tc>
        <w:tc>
          <w:tcPr>
            <w:tcW w:w="100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备注1</w:t>
            </w:r>
          </w:p>
        </w:tc>
        <w:tc>
          <w:tcPr>
            <w:tcW w:w="29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备注2</w:t>
            </w:r>
          </w:p>
        </w:tc>
      </w:tr>
      <w:tr>
        <w:tblPrEx>
          <w:tblCellMar>
            <w:top w:w="0" w:type="dxa"/>
            <w:left w:w="108" w:type="dxa"/>
            <w:bottom w:w="0" w:type="dxa"/>
            <w:right w:w="108" w:type="dxa"/>
          </w:tblCellMar>
        </w:tblPrEx>
        <w:trPr>
          <w:gridAfter w:val="1"/>
          <w:wAfter w:w="18" w:type="pct"/>
          <w:trHeight w:val="27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办公桌</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1.8*0.8</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2012年5月</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勤政楼1051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后勤处</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卢胜德</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办公室</w:t>
            </w: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办公室2016年统一分配</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gridAfter w:val="1"/>
          <w:wAfter w:w="18" w:type="pct"/>
          <w:trHeight w:val="27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空调</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格力</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1.5匹</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2015年8月</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勤政楼1051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后勤处</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卢胜德</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后勤处</w:t>
            </w: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后勤处2016年统一分配</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gridAfter w:val="1"/>
          <w:wAfter w:w="18" w:type="pct"/>
          <w:trHeight w:val="27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文件柜</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世博</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两门</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未知</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勤政楼1051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后勤处</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卢胜德</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不详</w:t>
            </w: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未查出资产来源</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gridAfter w:val="1"/>
          <w:wAfter w:w="18" w:type="pct"/>
          <w:trHeight w:val="27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gridAfter w:val="1"/>
          <w:wAfter w:w="18" w:type="pct"/>
          <w:trHeight w:val="27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gridAfter w:val="1"/>
          <w:wAfter w:w="18" w:type="pct"/>
          <w:trHeight w:val="27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85" w:rightChars="-88"/>
              <w:jc w:val="left"/>
              <w:textAlignment w:val="center"/>
              <w:rPr>
                <w:rFonts w:ascii="宋体" w:hAnsi="宋体" w:eastAsia="宋体" w:cs="宋体"/>
                <w:kern w:val="0"/>
                <w:sz w:val="22"/>
                <w:szCs w:val="22"/>
                <w:lang w:bidi="ar"/>
              </w:rPr>
            </w:pPr>
          </w:p>
        </w:tc>
      </w:tr>
      <w:tr>
        <w:tblPrEx>
          <w:tblCellMar>
            <w:top w:w="0" w:type="dxa"/>
            <w:left w:w="108" w:type="dxa"/>
            <w:bottom w:w="0" w:type="dxa"/>
            <w:right w:w="108" w:type="dxa"/>
          </w:tblCellMar>
        </w:tblPrEx>
        <w:trPr>
          <w:gridAfter w:val="1"/>
          <w:wAfter w:w="18" w:type="pct"/>
          <w:trHeight w:val="270" w:hRule="atLeast"/>
        </w:trPr>
        <w:tc>
          <w:tcPr>
            <w:tcW w:w="230"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385"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230"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385"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482"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385"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482"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385"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347"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378"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1000"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c>
          <w:tcPr>
            <w:tcW w:w="294" w:type="pct"/>
            <w:tcBorders>
              <w:top w:val="nil"/>
              <w:left w:val="nil"/>
              <w:bottom w:val="nil"/>
              <w:right w:val="nil"/>
            </w:tcBorders>
            <w:shd w:val="clear" w:color="auto" w:fill="auto"/>
            <w:noWrap/>
            <w:vAlign w:val="center"/>
          </w:tcPr>
          <w:p>
            <w:pPr>
              <w:ind w:firstLine="319" w:firstLineChars="145"/>
              <w:rPr>
                <w:rFonts w:ascii="宋体" w:hAnsi="宋体" w:eastAsia="宋体" w:cs="宋体"/>
                <w:sz w:val="22"/>
                <w:szCs w:val="22"/>
              </w:rPr>
            </w:pPr>
          </w:p>
        </w:tc>
      </w:tr>
    </w:tbl>
    <w:p>
      <w:pPr>
        <w:widowControl/>
        <w:ind w:right="-185" w:rightChars="-88"/>
        <w:jc w:val="left"/>
        <w:textAlignment w:val="center"/>
        <w:rPr>
          <w:rFonts w:ascii="仿宋" w:hAnsi="仿宋" w:eastAsia="仿宋"/>
          <w:sz w:val="32"/>
          <w:szCs w:val="32"/>
        </w:rPr>
        <w:sectPr>
          <w:pgSz w:w="16838" w:h="11906" w:orient="landscape"/>
          <w:pgMar w:top="1800" w:right="1440" w:bottom="1800" w:left="1440" w:header="851" w:footer="992" w:gutter="0"/>
          <w:pgNumType w:fmt="numberInDash"/>
          <w:cols w:space="425" w:num="1"/>
          <w:docGrid w:type="lines" w:linePitch="312" w:charSpace="0"/>
        </w:sectPr>
      </w:pPr>
    </w:p>
    <w:p>
      <w:pPr>
        <w:ind w:firstLine="464" w:firstLineChars="145"/>
        <w:rPr>
          <w:b/>
          <w:sz w:val="40"/>
          <w:szCs w:val="32"/>
        </w:rPr>
      </w:pPr>
      <w:r>
        <w:rPr>
          <w:rFonts w:hint="eastAsia" w:ascii="仿宋" w:hAnsi="仿宋" w:eastAsia="仿宋"/>
          <w:sz w:val="32"/>
          <w:szCs w:val="32"/>
        </w:rPr>
        <w:t>附件2：</w:t>
      </w:r>
    </w:p>
    <w:p>
      <w:pPr>
        <w:spacing w:line="600" w:lineRule="exact"/>
        <w:ind w:firstLine="638" w:firstLineChars="145"/>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年各部门、院系资产盘点报告</w:t>
      </w:r>
    </w:p>
    <w:p>
      <w:pPr>
        <w:spacing w:line="600" w:lineRule="exact"/>
        <w:ind w:firstLine="638" w:firstLineChars="145"/>
        <w:jc w:val="center"/>
        <w:rPr>
          <w:b/>
          <w:sz w:val="32"/>
          <w:szCs w:val="32"/>
        </w:rPr>
      </w:pPr>
      <w:r>
        <w:rPr>
          <w:rFonts w:hint="eastAsia" w:ascii="方正小标宋简体" w:hAnsi="方正小标宋简体" w:eastAsia="方正小标宋简体" w:cs="方正小标宋简体"/>
          <w:bCs/>
          <w:sz w:val="44"/>
          <w:szCs w:val="44"/>
        </w:rPr>
        <w:t>（参考格式）</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根据《亳州学院关于开展2023年固定资产盘点的通知》精神，我单位成立了资产盘点工作小组，认真组织本单位职工对我单位占有、使用的国有资产进行了盘点核查。具体情况如下：</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黑体" w:hAnsi="黑体" w:eastAsia="黑体" w:cs="黑体"/>
          <w:sz w:val="32"/>
          <w:szCs w:val="32"/>
        </w:rPr>
      </w:pPr>
      <w:r>
        <w:rPr>
          <w:rFonts w:hint="eastAsia" w:ascii="黑体" w:hAnsi="黑体" w:eastAsia="黑体" w:cs="黑体"/>
          <w:sz w:val="32"/>
          <w:szCs w:val="32"/>
        </w:rPr>
        <w:t>一、资产盘点工作小组组成情况。</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组长：        </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仿宋" w:hAnsi="仿宋" w:eastAsia="仿宋"/>
          <w:sz w:val="32"/>
          <w:szCs w:val="32"/>
        </w:rPr>
      </w:pPr>
      <w:r>
        <w:rPr>
          <w:rFonts w:hint="eastAsia" w:ascii="仿宋_GB2312" w:hAnsi="仿宋_GB2312" w:eastAsia="仿宋_GB2312" w:cs="仿宋_GB2312"/>
          <w:kern w:val="0"/>
          <w:sz w:val="32"/>
          <w:szCs w:val="32"/>
          <w:lang w:bidi="ar"/>
        </w:rPr>
        <w:t xml:space="preserve">成员： </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黑体" w:hAnsi="黑体" w:eastAsia="黑体" w:cs="黑体"/>
          <w:sz w:val="32"/>
          <w:szCs w:val="32"/>
        </w:rPr>
      </w:pPr>
      <w:r>
        <w:rPr>
          <w:rFonts w:hint="eastAsia" w:ascii="黑体" w:hAnsi="黑体" w:eastAsia="黑体" w:cs="黑体"/>
          <w:sz w:val="32"/>
          <w:szCs w:val="32"/>
        </w:rPr>
        <w:t>二、资产情况分析</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截止到2023年12月31日，我部门（系部）共有资产    件，总计   元。其中盘盈   件，计     元；盘亏   件，计    元。除盘盈，盘亏资产外，其余资产均“账实、账卡、卡物”相符。（如果盘盈、盘亏情况需另附报告，逐项说明）</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黑体" w:hAnsi="黑体" w:eastAsia="黑体" w:cs="黑体"/>
          <w:sz w:val="32"/>
          <w:szCs w:val="32"/>
        </w:rPr>
      </w:pPr>
      <w:r>
        <w:rPr>
          <w:rFonts w:hint="eastAsia" w:ascii="黑体" w:hAnsi="黑体" w:eastAsia="黑体" w:cs="黑体"/>
          <w:sz w:val="32"/>
          <w:szCs w:val="32"/>
        </w:rPr>
        <w:t>三、 资产管理工作的成效及经验</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黑体" w:hAnsi="黑体" w:eastAsia="黑体" w:cs="黑体"/>
          <w:sz w:val="32"/>
          <w:szCs w:val="32"/>
        </w:rPr>
      </w:pPr>
      <w:r>
        <w:rPr>
          <w:rFonts w:hint="eastAsia" w:ascii="黑体" w:hAnsi="黑体" w:eastAsia="黑体" w:cs="黑体"/>
          <w:sz w:val="32"/>
          <w:szCs w:val="32"/>
        </w:rPr>
        <w:t>四、对管理中存在问题、原因分析及整改措施。</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黑体" w:hAnsi="黑体" w:eastAsia="黑体" w:cs="黑体"/>
          <w:sz w:val="32"/>
          <w:szCs w:val="32"/>
        </w:rPr>
      </w:pPr>
      <w:r>
        <w:rPr>
          <w:rFonts w:hint="eastAsia" w:ascii="黑体" w:hAnsi="黑体" w:eastAsia="黑体" w:cs="黑体"/>
          <w:sz w:val="32"/>
          <w:szCs w:val="32"/>
        </w:rPr>
        <w:t>五、对我校国有资产管理的建议或意见。</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部门/院系负责人签章：</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部门/院系（公章）</w:t>
      </w:r>
    </w:p>
    <w:p>
      <w:pPr>
        <w:keepNext w:val="0"/>
        <w:keepLines w:val="0"/>
        <w:pageBreakBefore w:val="0"/>
        <w:widowControl w:val="0"/>
        <w:kinsoku/>
        <w:wordWrap/>
        <w:overflowPunct/>
        <w:topLinePunct w:val="0"/>
        <w:autoSpaceDE/>
        <w:autoSpaceDN/>
        <w:bidi w:val="0"/>
        <w:adjustRightInd/>
        <w:snapToGrid/>
        <w:spacing w:line="560" w:lineRule="exact"/>
        <w:ind w:firstLine="464" w:firstLineChars="145"/>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年   月   日</w:t>
      </w:r>
    </w:p>
    <w:p>
      <w:pPr>
        <w:rPr>
          <w:rFonts w:ascii="仿宋_GB2312" w:hAnsi="仿宋_GB2312" w:eastAsia="仿宋_GB2312" w:cs="仿宋_GB2312"/>
          <w:sz w:val="28"/>
          <w:szCs w:val="28"/>
        </w:rPr>
      </w:pPr>
      <w:r>
        <w:rPr>
          <w:rFonts w:ascii="仿宋_GB2312" w:hAnsi="仿宋_GB2312" w:eastAsia="仿宋_GB2312" w:cs="仿宋_GB2312"/>
          <w:sz w:val="28"/>
          <w:szCs w:val="28"/>
        </w:rPr>
        <w:br w:type="page"/>
      </w:r>
      <w:r>
        <w:rPr>
          <w:rFonts w:hint="eastAsia" w:ascii="仿宋_GB2312" w:hAnsi="仿宋_GB2312" w:eastAsia="仿宋_GB2312" w:cs="仿宋_GB2312"/>
          <w:sz w:val="28"/>
          <w:szCs w:val="28"/>
        </w:rPr>
        <w:t>附件3：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资产管理系统资产盘点使用说明（详版）</w:t>
      </w:r>
    </w:p>
    <w:p>
      <w:pPr>
        <w:ind w:firstLine="560" w:firstLineChars="175"/>
        <w:jc w:val="left"/>
        <w:rPr>
          <w:rFonts w:ascii="黑体" w:hAnsi="黑体" w:eastAsia="黑体" w:cs="黑体"/>
          <w:sz w:val="32"/>
          <w:szCs w:val="32"/>
        </w:rPr>
      </w:pPr>
    </w:p>
    <w:p>
      <w:pPr>
        <w:ind w:firstLine="560" w:firstLineChars="17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使用资产管理系统中的资产盘点功能，一是方便快捷，二是盘点表的建立者能够通过资产盘点单实时看到盘点进度，便于盘点工作推进。</w:t>
      </w:r>
    </w:p>
    <w:p>
      <w:pPr>
        <w:ind w:firstLine="560" w:firstLineChars="175"/>
        <w:jc w:val="left"/>
        <w:rPr>
          <w:rFonts w:ascii="黑体" w:hAnsi="黑体" w:eastAsia="黑体" w:cs="黑体"/>
          <w:sz w:val="32"/>
          <w:szCs w:val="32"/>
        </w:rPr>
      </w:pPr>
      <w:r>
        <w:rPr>
          <w:rFonts w:hint="eastAsia" w:ascii="黑体" w:hAnsi="黑体" w:eastAsia="黑体" w:cs="黑体"/>
          <w:sz w:val="32"/>
          <w:szCs w:val="32"/>
        </w:rPr>
        <w:t>一、建立盘点单</w:t>
      </w:r>
    </w:p>
    <w:p>
      <w:pPr>
        <w:ind w:firstLine="560" w:firstLineChars="17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年度资产盘点由学校统一建立盘点表。部门内部要做资产盘点，部门资产管理员也可以建立资产盘点单。具体方法如下：</w:t>
      </w:r>
    </w:p>
    <w:p>
      <w:pPr>
        <w:ind w:firstLine="560" w:firstLineChars="17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打开资产管理系统——角色切换到管理员模式——点击“盘点管理”进入——点击“盘点”进入——点击“新建盘点方案”进入，按弹出窗口要求制定盘点方案。完成盘点单的建立。生成盘点单如下：</w:t>
      </w:r>
    </w:p>
    <w:p>
      <w:pPr>
        <w:widowControl/>
        <w:jc w:val="left"/>
        <w:rPr>
          <w:rFonts w:ascii="仿宋_GB2312" w:hAnsi="仿宋_GB2312" w:eastAsia="仿宋_GB2312" w:cs="仿宋_GB2312"/>
          <w:kern w:val="0"/>
          <w:sz w:val="32"/>
          <w:szCs w:val="32"/>
          <w:lang w:bidi="ar"/>
        </w:rPr>
      </w:pPr>
    </w:p>
    <w:p>
      <w:pPr>
        <w:widowControl/>
        <w:jc w:val="left"/>
      </w:pPr>
      <w:r>
        <w:rPr>
          <w:rFonts w:ascii="宋体" w:hAnsi="宋体" w:eastAsia="宋体" w:cs="宋体"/>
          <w:kern w:val="0"/>
          <w:sz w:val="24"/>
        </w:rPr>
        <w:drawing>
          <wp:inline distT="0" distB="0" distL="114300" distR="114300">
            <wp:extent cx="5280660" cy="1626870"/>
            <wp:effectExtent l="0" t="0" r="1524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r="6066" b="26590"/>
                    <a:stretch>
                      <a:fillRect/>
                    </a:stretch>
                  </pic:blipFill>
                  <pic:spPr>
                    <a:xfrm>
                      <a:off x="0" y="0"/>
                      <a:ext cx="5280660" cy="1626870"/>
                    </a:xfrm>
                    <a:prstGeom prst="rect">
                      <a:avLst/>
                    </a:prstGeom>
                    <a:noFill/>
                    <a:ln w="9525">
                      <a:noFill/>
                    </a:ln>
                  </pic:spPr>
                </pic:pic>
              </a:graphicData>
            </a:graphic>
          </wp:inline>
        </w:drawing>
      </w:r>
    </w:p>
    <w:p>
      <w:pPr>
        <w:ind w:firstLine="560" w:firstLineChars="175"/>
        <w:jc w:val="left"/>
        <w:rPr>
          <w:rFonts w:ascii="黑体" w:hAnsi="黑体" w:eastAsia="黑体" w:cs="黑体"/>
          <w:sz w:val="32"/>
          <w:szCs w:val="32"/>
        </w:rPr>
      </w:pPr>
      <w:r>
        <w:rPr>
          <w:rFonts w:hint="eastAsia" w:ascii="黑体" w:hAnsi="黑体" w:eastAsia="黑体" w:cs="黑体"/>
          <w:sz w:val="32"/>
          <w:szCs w:val="32"/>
        </w:rPr>
        <w:t>二、快速盘点方式</w:t>
      </w:r>
    </w:p>
    <w:p>
      <w:pPr>
        <w:snapToGrid w:val="0"/>
        <w:spacing w:line="52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利用资产系统进行资产盘点有两种方法可用。</w:t>
      </w:r>
    </w:p>
    <w:p>
      <w:pPr>
        <w:snapToGrid w:val="0"/>
        <w:spacing w:line="52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注意，资产盘点仅是对账实是否相符的盘点统计，盘点表中的信息操作不会改变系统中原有资产卡片信息，如需修改信息，请通过资产系统的“业务办理”栏功能另行变动。</w:t>
      </w:r>
    </w:p>
    <w:p>
      <w:pPr>
        <w:snapToGrid w:val="0"/>
        <w:spacing w:line="520" w:lineRule="exact"/>
        <w:ind w:firstLine="562" w:firstLineChars="175"/>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方法一：</w:t>
      </w:r>
      <w:r>
        <w:rPr>
          <w:rFonts w:hint="eastAsia" w:ascii="仿宋_GB2312" w:hAnsi="仿宋_GB2312" w:eastAsia="仿宋_GB2312" w:cs="仿宋_GB2312"/>
          <w:sz w:val="32"/>
          <w:szCs w:val="32"/>
        </w:rPr>
        <w:t>系统内直接盘点。适用资产较少的使用人。</w:t>
      </w:r>
    </w:p>
    <w:p>
      <w:pPr>
        <w:snapToGrid w:val="0"/>
        <w:spacing w:line="52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打开盘点单，（筛选盘点范围可跳过），点击“</w:t>
      </w:r>
      <w:r>
        <w:rPr>
          <w:rFonts w:hint="eastAsia" w:ascii="仿宋_GB2312" w:hAnsi="仿宋_GB2312" w:eastAsia="仿宋_GB2312" w:cs="仿宋_GB2312"/>
          <w:b/>
          <w:bCs/>
          <w:sz w:val="32"/>
          <w:szCs w:val="32"/>
        </w:rPr>
        <w:t>选择盘点方式</w:t>
      </w:r>
      <w:r>
        <w:rPr>
          <w:rFonts w:hint="eastAsia" w:ascii="仿宋_GB2312" w:hAnsi="仿宋_GB2312" w:eastAsia="仿宋_GB2312" w:cs="仿宋_GB2312"/>
          <w:sz w:val="32"/>
          <w:szCs w:val="32"/>
        </w:rPr>
        <w:t>”选择“</w:t>
      </w:r>
      <w:r>
        <w:rPr>
          <w:rFonts w:hint="eastAsia" w:ascii="仿宋_GB2312" w:hAnsi="仿宋_GB2312" w:eastAsia="仿宋_GB2312" w:cs="仿宋_GB2312"/>
          <w:b/>
          <w:bCs/>
          <w:sz w:val="32"/>
          <w:szCs w:val="32"/>
        </w:rPr>
        <w:t>录入盘点信息</w:t>
      </w:r>
      <w:r>
        <w:rPr>
          <w:rFonts w:hint="eastAsia" w:ascii="仿宋_GB2312" w:hAnsi="仿宋_GB2312" w:eastAsia="仿宋_GB2312" w:cs="仿宋_GB2312"/>
          <w:sz w:val="32"/>
          <w:szCs w:val="32"/>
        </w:rPr>
        <w:t>”打开，进入点击“</w:t>
      </w:r>
      <w:r>
        <w:rPr>
          <w:rFonts w:hint="eastAsia" w:ascii="仿宋_GB2312" w:hAnsi="仿宋_GB2312" w:eastAsia="仿宋_GB2312" w:cs="仿宋_GB2312"/>
          <w:b/>
          <w:bCs/>
          <w:sz w:val="32"/>
          <w:szCs w:val="32"/>
        </w:rPr>
        <w:t>设置盘点数为账面数</w:t>
      </w:r>
      <w:r>
        <w:rPr>
          <w:rFonts w:hint="eastAsia" w:ascii="仿宋_GB2312" w:hAnsi="仿宋_GB2312" w:eastAsia="仿宋_GB2312" w:cs="仿宋_GB2312"/>
          <w:sz w:val="32"/>
          <w:szCs w:val="32"/>
        </w:rPr>
        <w:t>”，点击“</w:t>
      </w:r>
      <w:r>
        <w:rPr>
          <w:rFonts w:hint="eastAsia" w:ascii="仿宋_GB2312" w:hAnsi="仿宋_GB2312" w:eastAsia="仿宋_GB2312" w:cs="仿宋_GB2312"/>
          <w:b/>
          <w:bCs/>
          <w:sz w:val="32"/>
          <w:szCs w:val="32"/>
        </w:rPr>
        <w:t>校验</w:t>
      </w:r>
      <w:r>
        <w:rPr>
          <w:rFonts w:hint="eastAsia" w:ascii="仿宋_GB2312" w:hAnsi="仿宋_GB2312" w:eastAsia="仿宋_GB2312" w:cs="仿宋_GB2312"/>
          <w:sz w:val="32"/>
          <w:szCs w:val="32"/>
        </w:rPr>
        <w:t>”，弹出“没有异常”，点击“</w:t>
      </w:r>
      <w:r>
        <w:rPr>
          <w:rFonts w:hint="eastAsia" w:ascii="仿宋_GB2312" w:hAnsi="仿宋_GB2312" w:eastAsia="仿宋_GB2312" w:cs="仿宋_GB2312"/>
          <w:b/>
          <w:bCs/>
          <w:sz w:val="32"/>
          <w:szCs w:val="32"/>
        </w:rPr>
        <w:t>保存</w:t>
      </w:r>
      <w:r>
        <w:rPr>
          <w:rFonts w:hint="eastAsia" w:ascii="仿宋_GB2312" w:hAnsi="仿宋_GB2312" w:eastAsia="仿宋_GB2312" w:cs="仿宋_GB2312"/>
          <w:sz w:val="32"/>
          <w:szCs w:val="32"/>
        </w:rPr>
        <w:t>”，返回盘点表，点击“</w:t>
      </w:r>
      <w:r>
        <w:rPr>
          <w:rFonts w:hint="eastAsia" w:ascii="仿宋_GB2312" w:hAnsi="仿宋_GB2312" w:eastAsia="仿宋_GB2312" w:cs="仿宋_GB2312"/>
          <w:b/>
          <w:bCs/>
          <w:sz w:val="32"/>
          <w:szCs w:val="32"/>
        </w:rPr>
        <w:t>检查并确认结果</w:t>
      </w:r>
      <w:r>
        <w:rPr>
          <w:rFonts w:hint="eastAsia" w:ascii="仿宋_GB2312" w:hAnsi="仿宋_GB2312" w:eastAsia="仿宋_GB2312" w:cs="仿宋_GB2312"/>
          <w:sz w:val="32"/>
          <w:szCs w:val="32"/>
        </w:rPr>
        <w:t>”，点击“</w:t>
      </w:r>
      <w:r>
        <w:rPr>
          <w:rFonts w:hint="eastAsia" w:ascii="仿宋_GB2312" w:hAnsi="仿宋_GB2312" w:eastAsia="仿宋_GB2312" w:cs="仿宋_GB2312"/>
          <w:b/>
          <w:bCs/>
          <w:sz w:val="32"/>
          <w:szCs w:val="32"/>
        </w:rPr>
        <w:t>上报</w:t>
      </w:r>
      <w:r>
        <w:rPr>
          <w:rFonts w:hint="eastAsia" w:ascii="仿宋_GB2312" w:hAnsi="仿宋_GB2312" w:eastAsia="仿宋_GB2312" w:cs="仿宋_GB2312"/>
          <w:sz w:val="32"/>
          <w:szCs w:val="32"/>
        </w:rPr>
        <w:t>”。完成资产盘点。</w:t>
      </w:r>
    </w:p>
    <w:p>
      <w:pPr>
        <w:snapToGrid w:val="0"/>
        <w:spacing w:line="52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注意：如需要进行信息修改，可在“</w:t>
      </w:r>
      <w:r>
        <w:rPr>
          <w:rFonts w:hint="eastAsia" w:ascii="仿宋_GB2312" w:hAnsi="仿宋_GB2312" w:eastAsia="仿宋_GB2312" w:cs="仿宋_GB2312"/>
          <w:b/>
          <w:bCs/>
          <w:sz w:val="32"/>
          <w:szCs w:val="32"/>
        </w:rPr>
        <w:t>设置盘点数为账面数</w:t>
      </w:r>
      <w:r>
        <w:rPr>
          <w:rFonts w:hint="eastAsia" w:ascii="仿宋_GB2312" w:hAnsi="仿宋_GB2312" w:eastAsia="仿宋_GB2312" w:cs="仿宋_GB2312"/>
          <w:sz w:val="32"/>
          <w:szCs w:val="32"/>
        </w:rPr>
        <w:t>”后，在系统内直接修改、添加备注。</w:t>
      </w:r>
    </w:p>
    <w:p>
      <w:pPr>
        <w:snapToGrid w:val="0"/>
        <w:spacing w:line="520" w:lineRule="exact"/>
        <w:ind w:firstLine="562" w:firstLineChars="175"/>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方法二：</w:t>
      </w:r>
      <w:r>
        <w:rPr>
          <w:rFonts w:hint="eastAsia" w:ascii="仿宋_GB2312" w:hAnsi="仿宋_GB2312" w:eastAsia="仿宋_GB2312" w:cs="仿宋_GB2312"/>
          <w:sz w:val="32"/>
          <w:szCs w:val="32"/>
        </w:rPr>
        <w:t>通过导出Excel表盘点。适用资产较多的使用人。</w:t>
      </w:r>
    </w:p>
    <w:p>
      <w:pPr>
        <w:snapToGrid w:val="0"/>
        <w:spacing w:line="52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打开盘点单，（筛选盘点范围可跳过），点击“</w:t>
      </w:r>
      <w:r>
        <w:rPr>
          <w:rFonts w:hint="eastAsia" w:ascii="仿宋_GB2312" w:hAnsi="仿宋_GB2312" w:eastAsia="仿宋_GB2312" w:cs="仿宋_GB2312"/>
          <w:b/>
          <w:bCs/>
          <w:sz w:val="32"/>
          <w:szCs w:val="32"/>
        </w:rPr>
        <w:t>选择盘点方式</w:t>
      </w:r>
      <w:r>
        <w:rPr>
          <w:rFonts w:hint="eastAsia" w:ascii="仿宋_GB2312" w:hAnsi="仿宋_GB2312" w:eastAsia="仿宋_GB2312" w:cs="仿宋_GB2312"/>
          <w:sz w:val="32"/>
          <w:szCs w:val="32"/>
        </w:rPr>
        <w:t>”选择“</w:t>
      </w:r>
      <w:r>
        <w:rPr>
          <w:rFonts w:hint="eastAsia" w:ascii="仿宋_GB2312" w:hAnsi="仿宋_GB2312" w:eastAsia="仿宋_GB2312" w:cs="仿宋_GB2312"/>
          <w:b/>
          <w:bCs/>
          <w:sz w:val="32"/>
          <w:szCs w:val="32"/>
        </w:rPr>
        <w:t>导出到Excel</w:t>
      </w:r>
      <w:r>
        <w:rPr>
          <w:rFonts w:hint="eastAsia" w:ascii="仿宋_GB2312" w:hAnsi="仿宋_GB2312" w:eastAsia="仿宋_GB2312" w:cs="仿宋_GB2312"/>
          <w:sz w:val="32"/>
          <w:szCs w:val="32"/>
        </w:rPr>
        <w:t>”下载保存。</w:t>
      </w:r>
    </w:p>
    <w:p>
      <w:pPr>
        <w:snapToGrid w:val="0"/>
        <w:spacing w:line="52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打开Excel表格，在将“</w:t>
      </w:r>
      <w:r>
        <w:rPr>
          <w:rFonts w:hint="eastAsia" w:ascii="仿宋_GB2312" w:hAnsi="仿宋_GB2312" w:eastAsia="仿宋_GB2312" w:cs="仿宋_GB2312"/>
          <w:b/>
          <w:bCs/>
          <w:sz w:val="32"/>
          <w:szCs w:val="32"/>
        </w:rPr>
        <w:t>账面数量</w:t>
      </w:r>
      <w:r>
        <w:rPr>
          <w:rFonts w:hint="eastAsia" w:ascii="仿宋_GB2312" w:hAnsi="仿宋_GB2312" w:eastAsia="仿宋_GB2312" w:cs="仿宋_GB2312"/>
          <w:sz w:val="32"/>
          <w:szCs w:val="32"/>
        </w:rPr>
        <w:t>”列复制到“</w:t>
      </w:r>
      <w:r>
        <w:rPr>
          <w:rFonts w:hint="eastAsia" w:ascii="仿宋_GB2312" w:hAnsi="仿宋_GB2312" w:eastAsia="仿宋_GB2312" w:cs="仿宋_GB2312"/>
          <w:b/>
          <w:bCs/>
          <w:sz w:val="32"/>
          <w:szCs w:val="32"/>
        </w:rPr>
        <w:t>盘点数量</w:t>
      </w:r>
      <w:r>
        <w:rPr>
          <w:rFonts w:hint="eastAsia" w:ascii="仿宋_GB2312" w:hAnsi="仿宋_GB2312" w:eastAsia="仿宋_GB2312" w:cs="仿宋_GB2312"/>
          <w:sz w:val="32"/>
          <w:szCs w:val="32"/>
        </w:rPr>
        <w:t>”列，“盘点结果”列显示“</w:t>
      </w:r>
      <w:r>
        <w:rPr>
          <w:rFonts w:hint="eastAsia" w:ascii="仿宋_GB2312" w:hAnsi="仿宋_GB2312" w:eastAsia="仿宋_GB2312" w:cs="仿宋_GB2312"/>
          <w:b/>
          <w:bCs/>
          <w:sz w:val="32"/>
          <w:szCs w:val="32"/>
        </w:rPr>
        <w:t>无盈亏</w:t>
      </w:r>
      <w:r>
        <w:rPr>
          <w:rFonts w:hint="eastAsia" w:ascii="仿宋_GB2312" w:hAnsi="仿宋_GB2312" w:eastAsia="仿宋_GB2312" w:cs="仿宋_GB2312"/>
          <w:sz w:val="32"/>
          <w:szCs w:val="32"/>
        </w:rPr>
        <w:t>”，保存。</w:t>
      </w:r>
    </w:p>
    <w:p>
      <w:pPr>
        <w:snapToGrid w:val="0"/>
        <w:spacing w:line="52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再次打开盘点单，点击“</w:t>
      </w:r>
      <w:r>
        <w:rPr>
          <w:rFonts w:hint="eastAsia" w:ascii="仿宋_GB2312" w:hAnsi="仿宋_GB2312" w:eastAsia="仿宋_GB2312" w:cs="仿宋_GB2312"/>
          <w:b/>
          <w:bCs/>
          <w:sz w:val="32"/>
          <w:szCs w:val="32"/>
        </w:rPr>
        <w:t>导入盘点结果</w:t>
      </w:r>
      <w:r>
        <w:rPr>
          <w:rFonts w:hint="eastAsia" w:ascii="仿宋_GB2312" w:hAnsi="仿宋_GB2312" w:eastAsia="仿宋_GB2312" w:cs="仿宋_GB2312"/>
          <w:sz w:val="32"/>
          <w:szCs w:val="32"/>
        </w:rPr>
        <w:t>”进入“</w:t>
      </w:r>
      <w:r>
        <w:rPr>
          <w:rFonts w:hint="eastAsia" w:ascii="仿宋_GB2312" w:hAnsi="仿宋_GB2312" w:eastAsia="仿宋_GB2312" w:cs="仿宋_GB2312"/>
          <w:b/>
          <w:bCs/>
          <w:sz w:val="32"/>
          <w:szCs w:val="32"/>
        </w:rPr>
        <w:t>从Excel导入</w:t>
      </w:r>
      <w:r>
        <w:rPr>
          <w:rFonts w:hint="eastAsia" w:ascii="仿宋_GB2312" w:hAnsi="仿宋_GB2312" w:eastAsia="仿宋_GB2312" w:cs="仿宋_GB2312"/>
          <w:sz w:val="32"/>
          <w:szCs w:val="32"/>
        </w:rPr>
        <w:t>”将Excel表导入，点击“</w:t>
      </w:r>
      <w:r>
        <w:rPr>
          <w:rFonts w:hint="eastAsia" w:ascii="仿宋_GB2312" w:hAnsi="仿宋_GB2312" w:eastAsia="仿宋_GB2312" w:cs="仿宋_GB2312"/>
          <w:b/>
          <w:bCs/>
          <w:sz w:val="32"/>
          <w:szCs w:val="32"/>
        </w:rPr>
        <w:t>检查并确认结果</w:t>
      </w:r>
      <w:r>
        <w:rPr>
          <w:rFonts w:hint="eastAsia" w:ascii="仿宋_GB2312" w:hAnsi="仿宋_GB2312" w:eastAsia="仿宋_GB2312" w:cs="仿宋_GB2312"/>
          <w:sz w:val="32"/>
          <w:szCs w:val="32"/>
        </w:rPr>
        <w:t>”，点击“</w:t>
      </w:r>
      <w:r>
        <w:rPr>
          <w:rFonts w:hint="eastAsia" w:ascii="仿宋_GB2312" w:hAnsi="仿宋_GB2312" w:eastAsia="仿宋_GB2312" w:cs="仿宋_GB2312"/>
          <w:b/>
          <w:bCs/>
          <w:sz w:val="32"/>
          <w:szCs w:val="32"/>
        </w:rPr>
        <w:t>上报</w:t>
      </w:r>
      <w:r>
        <w:rPr>
          <w:rFonts w:hint="eastAsia" w:ascii="仿宋_GB2312" w:hAnsi="仿宋_GB2312" w:eastAsia="仿宋_GB2312" w:cs="仿宋_GB2312"/>
          <w:sz w:val="32"/>
          <w:szCs w:val="32"/>
        </w:rPr>
        <w:t>”。完成资产盘点。</w:t>
      </w:r>
    </w:p>
    <w:p>
      <w:pPr>
        <w:snapToGrid w:val="0"/>
        <w:spacing w:line="52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注意：采用Excel方式进行资产盘点，导出的Excel表格只修改第8栏“</w:t>
      </w:r>
      <w:r>
        <w:rPr>
          <w:rFonts w:hint="eastAsia" w:ascii="仿宋_GB2312" w:hAnsi="仿宋_GB2312" w:eastAsia="仿宋_GB2312" w:cs="仿宋_GB2312"/>
          <w:b/>
          <w:bCs/>
          <w:sz w:val="32"/>
          <w:szCs w:val="32"/>
        </w:rPr>
        <w:t>盘点数量</w:t>
      </w:r>
      <w:r>
        <w:rPr>
          <w:rFonts w:hint="eastAsia" w:ascii="仿宋_GB2312" w:hAnsi="仿宋_GB2312" w:eastAsia="仿宋_GB2312" w:cs="仿宋_GB2312"/>
          <w:sz w:val="32"/>
          <w:szCs w:val="32"/>
        </w:rPr>
        <w:t>”和第20栏“</w:t>
      </w:r>
      <w:r>
        <w:rPr>
          <w:rFonts w:hint="eastAsia" w:ascii="仿宋_GB2312" w:hAnsi="仿宋_GB2312" w:eastAsia="仿宋_GB2312" w:cs="仿宋_GB2312"/>
          <w:b/>
          <w:bCs/>
          <w:sz w:val="32"/>
          <w:szCs w:val="32"/>
        </w:rPr>
        <w:t>备注</w:t>
      </w:r>
      <w:r>
        <w:rPr>
          <w:rFonts w:hint="eastAsia" w:ascii="仿宋_GB2312" w:hAnsi="仿宋_GB2312" w:eastAsia="仿宋_GB2312" w:cs="仿宋_GB2312"/>
          <w:sz w:val="32"/>
          <w:szCs w:val="32"/>
        </w:rPr>
        <w:t>”。修改其他信息容易造成后面导入失败。</w:t>
      </w:r>
    </w:p>
    <w:p>
      <w:pPr>
        <w:ind w:firstLine="560" w:firstLineChars="175"/>
        <w:jc w:val="left"/>
        <w:rPr>
          <w:rFonts w:ascii="黑体" w:hAnsi="黑体" w:eastAsia="黑体" w:cs="黑体"/>
          <w:sz w:val="32"/>
          <w:szCs w:val="32"/>
        </w:rPr>
      </w:pPr>
      <w:r>
        <w:rPr>
          <w:rFonts w:hint="eastAsia" w:ascii="黑体" w:hAnsi="黑体" w:eastAsia="黑体" w:cs="黑体"/>
          <w:sz w:val="32"/>
          <w:szCs w:val="32"/>
        </w:rPr>
        <w:t>三、使用人资产盘点使用说明：</w:t>
      </w:r>
    </w:p>
    <w:p>
      <w:pPr>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以下为资产系统盘点的</w:t>
      </w:r>
      <w:r>
        <w:rPr>
          <w:rFonts w:hint="eastAsia" w:ascii="仿宋_GB2312" w:hAnsi="仿宋_GB2312" w:eastAsia="仿宋_GB2312" w:cs="仿宋_GB2312"/>
          <w:b/>
          <w:bCs/>
          <w:sz w:val="32"/>
          <w:szCs w:val="32"/>
        </w:rPr>
        <w:t>详细说明</w:t>
      </w:r>
      <w:r>
        <w:rPr>
          <w:rFonts w:hint="eastAsia" w:ascii="仿宋_GB2312" w:hAnsi="仿宋_GB2312" w:eastAsia="仿宋_GB2312" w:cs="仿宋_GB2312"/>
          <w:sz w:val="32"/>
          <w:szCs w:val="32"/>
        </w:rPr>
        <w:t>，第一次使用资产系统盘点或个人名下系统资产信息变动多的使用人需认真看。</w:t>
      </w:r>
    </w:p>
    <w:p>
      <w:pPr>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资产使用人通过资产管理系统进行资产盘点时，首先要找到并打开盘点单。方法如下：</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打开资产管理系统——点击“盘点管理”——选中盘点方案——打开盘点单（也可双击选中的盘点方案）</w:t>
      </w:r>
    </w:p>
    <w:p>
      <w:pPr>
        <w:widowControl/>
        <w:ind w:firstLine="608" w:firstLineChars="19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rPr>
        <w:drawing>
          <wp:inline distT="0" distB="0" distL="114300" distR="114300">
            <wp:extent cx="4467860" cy="2906395"/>
            <wp:effectExtent l="0" t="0" r="8890" b="825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4467860" cy="2906395"/>
                    </a:xfrm>
                    <a:prstGeom prst="rect">
                      <a:avLst/>
                    </a:prstGeom>
                    <a:noFill/>
                    <a:ln w="9525">
                      <a:noFill/>
                    </a:ln>
                  </pic:spPr>
                </pic:pic>
              </a:graphicData>
            </a:graphic>
          </wp:inline>
        </w:drawing>
      </w:r>
    </w:p>
    <w:p>
      <w:pPr>
        <w:widowControl/>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进入盘点界面。盘点界面如下</w:t>
      </w:r>
    </w:p>
    <w:p>
      <w:pPr>
        <w:widowControl/>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drawing>
          <wp:inline distT="0" distB="0" distL="114300" distR="114300">
            <wp:extent cx="4076700" cy="1623060"/>
            <wp:effectExtent l="0" t="0" r="0" b="1524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4076700" cy="1623060"/>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上面1、2、3、4为盘点顺序，盘点人需依次完成此4各步骤。下面是实时查看盘点情况：分为未盘点资产、已盘点（盘盈、盘亏、无盈亏）资产和全部。</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一般情况下系统盘点应为无盈亏。盘盈不在系统填报，需另附表格填写，另行处理。</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下面按照使用人权限对盘点流程逐一讲解：</w:t>
      </w:r>
    </w:p>
    <w:p>
      <w:pPr>
        <w:pStyle w:val="6"/>
        <w:ind w:firstLine="608" w:firstLineChars="190"/>
        <w:rPr>
          <w:rFonts w:ascii="仿宋_GB2312" w:hAnsi="仿宋_GB2312" w:cs="仿宋_GB2312"/>
          <w:sz w:val="32"/>
          <w:szCs w:val="32"/>
        </w:rPr>
      </w:pPr>
      <w:r>
        <w:rPr>
          <w:rFonts w:hint="eastAsia" w:ascii="黑体" w:hAnsi="黑体" w:eastAsia="黑体" w:cs="黑体"/>
          <w:sz w:val="32"/>
          <w:szCs w:val="32"/>
        </w:rPr>
        <w:t>（一）筛选盘点范围</w:t>
      </w:r>
    </w:p>
    <w:p>
      <w:pPr>
        <w:widowControl/>
        <w:ind w:firstLine="456" w:firstLineChars="190"/>
        <w:jc w:val="left"/>
      </w:pPr>
      <w:r>
        <w:rPr>
          <w:rFonts w:ascii="宋体" w:hAnsi="宋体" w:eastAsia="宋体" w:cs="宋体"/>
          <w:kern w:val="0"/>
          <w:sz w:val="24"/>
        </w:rPr>
        <w:drawing>
          <wp:inline distT="0" distB="0" distL="114300" distR="114300">
            <wp:extent cx="3457575" cy="1985645"/>
            <wp:effectExtent l="0" t="0" r="9525" b="14605"/>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7"/>
                    <a:stretch>
                      <a:fillRect/>
                    </a:stretch>
                  </pic:blipFill>
                  <pic:spPr>
                    <a:xfrm>
                      <a:off x="0" y="0"/>
                      <a:ext cx="3457575" cy="1985645"/>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不选择默认全体。当发现下面未盘点表格资产较多时，希望分类或者分人（部门管理员盘点某个人的资产）等情况时，在此选择。</w:t>
      </w:r>
    </w:p>
    <w:p>
      <w:pPr>
        <w:pStyle w:val="6"/>
        <w:ind w:firstLine="608" w:firstLineChars="190"/>
        <w:rPr>
          <w:rFonts w:ascii="黑体" w:hAnsi="黑体" w:eastAsia="黑体" w:cs="黑体"/>
          <w:sz w:val="32"/>
          <w:szCs w:val="32"/>
        </w:rPr>
      </w:pPr>
      <w:r>
        <w:rPr>
          <w:rFonts w:hint="eastAsia" w:ascii="黑体" w:hAnsi="黑体" w:eastAsia="黑体" w:cs="黑体"/>
          <w:sz w:val="32"/>
          <w:szCs w:val="32"/>
        </w:rPr>
        <w:t>（二）选择盘点方式</w:t>
      </w:r>
    </w:p>
    <w:p>
      <w:pPr>
        <w:widowControl/>
        <w:ind w:firstLine="456" w:firstLineChars="190"/>
        <w:jc w:val="left"/>
        <w:rPr>
          <w:rFonts w:ascii="宋体" w:hAnsi="宋体" w:eastAsia="宋体" w:cs="宋体"/>
          <w:kern w:val="0"/>
          <w:sz w:val="24"/>
          <w:lang w:bidi="ar"/>
        </w:rPr>
      </w:pPr>
      <w:r>
        <w:rPr>
          <w:rFonts w:ascii="宋体" w:hAnsi="宋体" w:eastAsia="宋体" w:cs="宋体"/>
          <w:kern w:val="0"/>
          <w:sz w:val="24"/>
        </w:rPr>
        <w:drawing>
          <wp:inline distT="0" distB="0" distL="114300" distR="114300">
            <wp:extent cx="4391025" cy="1755140"/>
            <wp:effectExtent l="9525" t="9525" r="19050" b="26035"/>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8"/>
                    <a:stretch>
                      <a:fillRect/>
                    </a:stretch>
                  </pic:blipFill>
                  <pic:spPr>
                    <a:xfrm>
                      <a:off x="0" y="0"/>
                      <a:ext cx="4391025" cy="1755140"/>
                    </a:xfrm>
                    <a:prstGeom prst="rect">
                      <a:avLst/>
                    </a:prstGeom>
                    <a:noFill/>
                    <a:ln w="9525">
                      <a:solidFill>
                        <a:schemeClr val="tx1"/>
                      </a:solidFill>
                    </a:ln>
                  </pic:spPr>
                </pic:pic>
              </a:graphicData>
            </a:graphic>
          </wp:inline>
        </w:drawing>
      </w:r>
    </w:p>
    <w:p>
      <w:pPr>
        <w:widowControl/>
        <w:ind w:firstLine="456" w:firstLineChars="190"/>
        <w:jc w:val="left"/>
        <w:rPr>
          <w:rFonts w:ascii="宋体" w:hAnsi="宋体" w:eastAsia="宋体" w:cs="宋体"/>
          <w:kern w:val="0"/>
          <w:sz w:val="24"/>
          <w:lang w:bidi="ar"/>
        </w:rPr>
      </w:pPr>
    </w:p>
    <w:p>
      <w:pPr>
        <w:widowControl/>
        <w:ind w:firstLine="456" w:firstLineChars="190"/>
        <w:jc w:val="left"/>
      </w:pPr>
      <w:r>
        <w:rPr>
          <w:rFonts w:ascii="宋体" w:hAnsi="宋体" w:eastAsia="宋体" w:cs="宋体"/>
          <w:kern w:val="0"/>
          <w:sz w:val="24"/>
        </w:rPr>
        <w:drawing>
          <wp:inline distT="0" distB="0" distL="114300" distR="114300">
            <wp:extent cx="4191000" cy="1133475"/>
            <wp:effectExtent l="9525" t="9525" r="9525" b="19050"/>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9"/>
                    <a:stretch>
                      <a:fillRect/>
                    </a:stretch>
                  </pic:blipFill>
                  <pic:spPr>
                    <a:xfrm>
                      <a:off x="0" y="0"/>
                      <a:ext cx="4191000" cy="1133475"/>
                    </a:xfrm>
                    <a:prstGeom prst="rect">
                      <a:avLst/>
                    </a:prstGeom>
                    <a:noFill/>
                    <a:ln w="9525">
                      <a:solidFill>
                        <a:schemeClr val="tx1"/>
                      </a:solid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此步骤是盘点的主要部分。有三种盘点方式可选，现阶段主要是用“导出到Excel”和“录入盘点信息”两种。</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系统内资产信息无误或者变动少的使用人可以通过“录入盘点信息”方式盘点。</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资产多或者需变动资产多的使用人推荐导出Excel后，在Excel上完成盘点后再导入。对于资产多（如上图有258页，用“录入盘点信息”方式需要258次，用Excel方法1次就行）的情况下更快。</w:t>
      </w:r>
    </w:p>
    <w:p>
      <w:pPr>
        <w:pStyle w:val="6"/>
        <w:ind w:firstLine="610" w:firstLineChars="190"/>
        <w:rPr>
          <w:rFonts w:ascii="仿宋_GB2312" w:hAnsi="仿宋_GB2312" w:cs="仿宋_GB2312"/>
          <w:b/>
          <w:bCs/>
          <w:sz w:val="32"/>
          <w:szCs w:val="32"/>
        </w:rPr>
      </w:pPr>
      <w:r>
        <w:rPr>
          <w:rFonts w:hint="eastAsia" w:ascii="仿宋_GB2312" w:hAnsi="仿宋_GB2312" w:cs="仿宋_GB2312"/>
          <w:b/>
          <w:bCs/>
          <w:sz w:val="32"/>
          <w:szCs w:val="32"/>
        </w:rPr>
        <w:t>1、导出到Excel方式盘点。</w:t>
      </w:r>
    </w:p>
    <w:p>
      <w:pPr>
        <w:pStyle w:val="6"/>
        <w:ind w:firstLine="608" w:firstLineChars="190"/>
        <w:rPr>
          <w:rFonts w:ascii="仿宋_GB2312" w:hAnsi="仿宋_GB2312" w:cs="仿宋_GB2312"/>
          <w:sz w:val="32"/>
          <w:szCs w:val="32"/>
        </w:rPr>
      </w:pPr>
      <w:r>
        <w:rPr>
          <w:rFonts w:hint="eastAsia" w:ascii="仿宋_GB2312" w:hAnsi="仿宋_GB2312" w:cs="仿宋_GB2312"/>
          <w:sz w:val="32"/>
          <w:szCs w:val="32"/>
        </w:rPr>
        <w:t>选择导出Excel后，主要对资产数量进行盘点。</w:t>
      </w:r>
    </w:p>
    <w:p>
      <w:pPr>
        <w:widowControl/>
        <w:ind w:firstLine="456" w:firstLineChars="190"/>
        <w:jc w:val="left"/>
      </w:pPr>
      <w:r>
        <w:rPr>
          <w:rFonts w:ascii="宋体" w:hAnsi="宋体" w:eastAsia="宋体" w:cs="宋体"/>
          <w:kern w:val="0"/>
          <w:sz w:val="24"/>
        </w:rPr>
        <w:drawing>
          <wp:inline distT="0" distB="0" distL="114300" distR="114300">
            <wp:extent cx="4810125" cy="1248410"/>
            <wp:effectExtent l="0" t="0" r="9525" b="8890"/>
            <wp:docPr id="1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56"/>
                    <pic:cNvPicPr>
                      <a:picLocks noChangeAspect="1"/>
                    </pic:cNvPicPr>
                  </pic:nvPicPr>
                  <pic:blipFill>
                    <a:blip r:embed="rId10"/>
                    <a:stretch>
                      <a:fillRect/>
                    </a:stretch>
                  </pic:blipFill>
                  <pic:spPr>
                    <a:xfrm>
                      <a:off x="0" y="0"/>
                      <a:ext cx="4810125" cy="1248410"/>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盘点数量和账面数量相符，即为“无盈亏”。在盘点时，使用人逐一核实相关资产</w:t>
      </w:r>
      <w:r>
        <w:rPr>
          <w:rFonts w:hint="eastAsia" w:ascii="仿宋_GB2312" w:hAnsi="仿宋_GB2312" w:eastAsia="仿宋_GB2312" w:cs="仿宋_GB2312"/>
          <w:b/>
          <w:bCs/>
          <w:sz w:val="32"/>
          <w:szCs w:val="32"/>
        </w:rPr>
        <w:t>数量现状</w:t>
      </w:r>
      <w:r>
        <w:rPr>
          <w:rFonts w:hint="eastAsia" w:ascii="仿宋_GB2312" w:hAnsi="仿宋_GB2312" w:eastAsia="仿宋_GB2312" w:cs="仿宋_GB2312"/>
          <w:sz w:val="32"/>
          <w:szCs w:val="32"/>
        </w:rPr>
        <w:t>。</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若全部账实相符，把“账面数量”下面的数字复制到“盘点数量”下面，“盘点结果”显示无盈亏。</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若有资产丢失，在“盘点数量”位置填“0”，丢失资产会自动进入盘亏表。</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（1）、家具、图书等账面数量可能不是“1”，所以盘点数量直接录“1”容易出现盘亏的错误。</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（2）、由于后面Excel表格要导入到系统，要求在修改Excel其他信息（使用人、存放地点）的时候必须要用系统中的编码，或者将导致导入失败。所以，</w:t>
      </w:r>
      <w:r>
        <w:rPr>
          <w:rFonts w:hint="eastAsia" w:ascii="仿宋_GB2312" w:hAnsi="仿宋_GB2312" w:eastAsia="仿宋_GB2312" w:cs="仿宋_GB2312"/>
          <w:b/>
          <w:bCs/>
          <w:sz w:val="32"/>
          <w:szCs w:val="32"/>
        </w:rPr>
        <w:t>系统Excel盘点只做数量盘点</w:t>
      </w:r>
      <w:r>
        <w:rPr>
          <w:rFonts w:hint="eastAsia" w:ascii="仿宋_GB2312" w:hAnsi="仿宋_GB2312" w:eastAsia="仿宋_GB2312" w:cs="仿宋_GB2312"/>
          <w:sz w:val="32"/>
          <w:szCs w:val="32"/>
        </w:rPr>
        <w:t>，人员、地点信息变动，毁损、闲置等信息在Excel</w:t>
      </w:r>
      <w:r>
        <w:rPr>
          <w:rFonts w:hint="eastAsia" w:ascii="仿宋_GB2312" w:hAnsi="仿宋_GB2312" w:eastAsia="仿宋_GB2312" w:cs="仿宋_GB2312"/>
          <w:b/>
          <w:bCs/>
          <w:sz w:val="32"/>
          <w:szCs w:val="32"/>
        </w:rPr>
        <w:t>备注栏</w:t>
      </w:r>
      <w:r>
        <w:rPr>
          <w:rFonts w:hint="eastAsia" w:ascii="仿宋_GB2312" w:hAnsi="仿宋_GB2312" w:eastAsia="仿宋_GB2312" w:cs="仿宋_GB2312"/>
          <w:sz w:val="32"/>
          <w:szCs w:val="32"/>
        </w:rPr>
        <w:t>说明，然后按正常变动流程办理。</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（3）、如果有个别信息修改（人员、部门）想在盘点表中体现，可在Excel导入系统后在系统中修改。此时修改仅修改盘点表中信息，</w:t>
      </w:r>
      <w:r>
        <w:rPr>
          <w:rFonts w:hint="eastAsia" w:ascii="仿宋_GB2312" w:hAnsi="仿宋_GB2312" w:eastAsia="仿宋_GB2312" w:cs="仿宋_GB2312"/>
          <w:b/>
          <w:bCs/>
          <w:sz w:val="32"/>
          <w:szCs w:val="32"/>
        </w:rPr>
        <w:t>不改变系统中的使用人和部门地点</w:t>
      </w:r>
      <w:r>
        <w:rPr>
          <w:rFonts w:hint="eastAsia" w:ascii="仿宋_GB2312" w:hAnsi="仿宋_GB2312" w:eastAsia="仿宋_GB2312" w:cs="仿宋_GB2312"/>
          <w:sz w:val="32"/>
          <w:szCs w:val="32"/>
        </w:rPr>
        <w:t>等。</w:t>
      </w:r>
    </w:p>
    <w:p>
      <w:pPr>
        <w:pStyle w:val="6"/>
        <w:ind w:firstLine="610" w:firstLineChars="19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2、录入盘点信息</w:t>
      </w:r>
    </w:p>
    <w:p>
      <w:pPr>
        <w:widowControl/>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drawing>
          <wp:inline distT="0" distB="0" distL="114300" distR="114300">
            <wp:extent cx="4677410" cy="1353185"/>
            <wp:effectExtent l="0" t="0" r="8890" b="18415"/>
            <wp:docPr id="1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IMG_256"/>
                    <pic:cNvPicPr>
                      <a:picLocks noChangeAspect="1"/>
                    </pic:cNvPicPr>
                  </pic:nvPicPr>
                  <pic:blipFill>
                    <a:blip r:embed="rId11"/>
                    <a:stretch>
                      <a:fillRect/>
                    </a:stretch>
                  </pic:blipFill>
                  <pic:spPr>
                    <a:xfrm>
                      <a:off x="0" y="0"/>
                      <a:ext cx="4677410" cy="1353185"/>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点击“录入盘点信息”会在系统中直接进入盘点界面。</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盘点人可以直接在系统中进行盘点：修改盘点数、使用人、使用部门、存放地点等信息。</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如果</w:t>
      </w:r>
      <w:r>
        <w:rPr>
          <w:rFonts w:hint="eastAsia" w:ascii="仿宋_GB2312" w:hAnsi="仿宋_GB2312" w:eastAsia="仿宋_GB2312" w:cs="仿宋_GB2312"/>
          <w:b/>
          <w:bCs/>
          <w:sz w:val="32"/>
          <w:szCs w:val="32"/>
        </w:rPr>
        <w:t>盘点数量没有变化</w:t>
      </w:r>
      <w:r>
        <w:rPr>
          <w:rFonts w:hint="eastAsia" w:ascii="仿宋_GB2312" w:hAnsi="仿宋_GB2312" w:eastAsia="仿宋_GB2312" w:cs="仿宋_GB2312"/>
          <w:sz w:val="32"/>
          <w:szCs w:val="32"/>
        </w:rPr>
        <w:t>，则直接点击“设置盘点数为账面数”即可。盘点数这一栏自动和账面数一致。盘点修改后先“校验”再“保存”。</w:t>
      </w:r>
    </w:p>
    <w:p>
      <w:pPr>
        <w:pStyle w:val="6"/>
        <w:ind w:firstLine="610" w:firstLineChars="190"/>
        <w:rPr>
          <w:rFonts w:ascii="仿宋_GB2312" w:hAnsi="仿宋_GB2312" w:eastAsia="仿宋_GB2312" w:cs="仿宋_GB2312"/>
          <w:sz w:val="32"/>
          <w:szCs w:val="32"/>
        </w:rPr>
      </w:pPr>
      <w:r>
        <w:rPr>
          <w:rFonts w:hint="eastAsia" w:ascii="仿宋_GB2312" w:hAnsi="仿宋_GB2312" w:eastAsia="仿宋_GB2312" w:cs="仿宋_GB2312"/>
          <w:b/>
          <w:bCs/>
          <w:sz w:val="32"/>
          <w:szCs w:val="32"/>
        </w:rPr>
        <w:t>注：</w:t>
      </w:r>
      <w:r>
        <w:rPr>
          <w:rFonts w:hint="eastAsia" w:ascii="仿宋_GB2312" w:hAnsi="仿宋_GB2312" w:eastAsia="仿宋_GB2312" w:cs="仿宋_GB2312"/>
          <w:sz w:val="32"/>
          <w:szCs w:val="32"/>
        </w:rPr>
        <w:t>此种方式对系统日常维护正确的使用人十分方便，基本上2分钟既能完成盘点。也希望使用人日常做到实时维护，年度资产盘点工作将会非常简单。</w:t>
      </w:r>
    </w:p>
    <w:p>
      <w:pPr>
        <w:pStyle w:val="6"/>
        <w:ind w:firstLine="608" w:firstLineChars="190"/>
        <w:rPr>
          <w:rFonts w:ascii="黑体" w:hAnsi="黑体" w:eastAsia="黑体" w:cs="黑体"/>
          <w:sz w:val="32"/>
          <w:szCs w:val="32"/>
        </w:rPr>
      </w:pPr>
      <w:r>
        <w:rPr>
          <w:rFonts w:hint="eastAsia" w:ascii="黑体" w:hAnsi="黑体" w:eastAsia="黑体" w:cs="黑体"/>
          <w:sz w:val="32"/>
          <w:szCs w:val="32"/>
        </w:rPr>
        <w:t>（三）导入盘点结果</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本步骤对应步骤二中的Excel盘点和条码枪盘点，步骤二通过“录入盘点信息”的不需要本步骤。</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将步骤二导出的Excel表格盘点完成保存后，再通过本步骤导入即可。</w:t>
      </w:r>
    </w:p>
    <w:p>
      <w:pPr>
        <w:pStyle w:val="6"/>
        <w:ind w:firstLine="610" w:firstLineChars="190"/>
        <w:rPr>
          <w:rFonts w:ascii="仿宋_GB2312" w:hAnsi="仿宋_GB2312" w:eastAsia="仿宋_GB2312" w:cs="仿宋_GB2312"/>
          <w:sz w:val="32"/>
          <w:szCs w:val="32"/>
        </w:rPr>
      </w:pPr>
      <w:r>
        <w:rPr>
          <w:rFonts w:hint="eastAsia" w:ascii="仿宋_GB2312" w:hAnsi="仿宋_GB2312" w:eastAsia="仿宋_GB2312" w:cs="仿宋_GB2312"/>
          <w:b/>
          <w:bCs/>
          <w:sz w:val="32"/>
          <w:szCs w:val="32"/>
        </w:rPr>
        <w:t>注意：</w:t>
      </w:r>
      <w:r>
        <w:rPr>
          <w:rFonts w:hint="eastAsia" w:ascii="仿宋_GB2312" w:hAnsi="仿宋_GB2312" w:eastAsia="仿宋_GB2312" w:cs="仿宋_GB2312"/>
          <w:sz w:val="32"/>
          <w:szCs w:val="32"/>
        </w:rPr>
        <w:t>如果Excel中修改的使用人或使用部门、地址等不是系统编码，系统识别不了，就会弹出如下对话框：</w:t>
      </w:r>
    </w:p>
    <w:p>
      <w:pPr>
        <w:widowControl/>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drawing>
          <wp:inline distT="0" distB="0" distL="114300" distR="114300">
            <wp:extent cx="3296285" cy="1859280"/>
            <wp:effectExtent l="0" t="0" r="18415" b="7620"/>
            <wp:docPr id="1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IMG_256"/>
                    <pic:cNvPicPr>
                      <a:picLocks noChangeAspect="1"/>
                    </pic:cNvPicPr>
                  </pic:nvPicPr>
                  <pic:blipFill>
                    <a:blip r:embed="rId12"/>
                    <a:stretch>
                      <a:fillRect/>
                    </a:stretch>
                  </pic:blipFill>
                  <pic:spPr>
                    <a:xfrm>
                      <a:off x="0" y="0"/>
                      <a:ext cx="3296285" cy="1859280"/>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对错误的部分，系统不做修改，仍然使用原来数据。</w:t>
      </w:r>
    </w:p>
    <w:p>
      <w:pPr>
        <w:widowControl/>
        <w:ind w:left="-630" w:leftChars="-300" w:firstLine="604" w:firstLineChars="189"/>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drawing>
          <wp:inline distT="0" distB="0" distL="114300" distR="114300">
            <wp:extent cx="5886450" cy="2752090"/>
            <wp:effectExtent l="0" t="0" r="0" b="10160"/>
            <wp:docPr id="1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IMG_256"/>
                    <pic:cNvPicPr>
                      <a:picLocks noChangeAspect="1"/>
                    </pic:cNvPicPr>
                  </pic:nvPicPr>
                  <pic:blipFill>
                    <a:blip r:embed="rId13"/>
                    <a:stretch>
                      <a:fillRect/>
                    </a:stretch>
                  </pic:blipFill>
                  <pic:spPr>
                    <a:xfrm>
                      <a:off x="0" y="0"/>
                      <a:ext cx="5886450" cy="2752090"/>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上面使用部门是错误的。在盘点后的“无盈亏”中使用部门修改后为空（使用部门不变）。</w:t>
      </w:r>
    </w:p>
    <w:p>
      <w:pPr>
        <w:widowControl/>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drawing>
          <wp:inline distT="0" distB="0" distL="114300" distR="114300">
            <wp:extent cx="4801870" cy="1066165"/>
            <wp:effectExtent l="0" t="0" r="17780" b="635"/>
            <wp:docPr id="2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IMG_256"/>
                    <pic:cNvPicPr>
                      <a:picLocks noChangeAspect="1"/>
                    </pic:cNvPicPr>
                  </pic:nvPicPr>
                  <pic:blipFill>
                    <a:blip r:embed="rId14"/>
                    <a:stretch>
                      <a:fillRect/>
                    </a:stretch>
                  </pic:blipFill>
                  <pic:spPr>
                    <a:xfrm>
                      <a:off x="0" y="0"/>
                      <a:ext cx="4801870" cy="1066165"/>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在使用人修改方面：</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Excel表格同时有正确和错误信息：</w:t>
      </w:r>
    </w:p>
    <w:p>
      <w:pPr>
        <w:widowControl/>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drawing>
          <wp:inline distT="0" distB="0" distL="114300" distR="114300">
            <wp:extent cx="2247900" cy="704850"/>
            <wp:effectExtent l="0" t="0" r="0" b="0"/>
            <wp:docPr id="2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descr="IMG_256"/>
                    <pic:cNvPicPr>
                      <a:picLocks noChangeAspect="1"/>
                    </pic:cNvPicPr>
                  </pic:nvPicPr>
                  <pic:blipFill>
                    <a:blip r:embed="rId15"/>
                    <a:stretch>
                      <a:fillRect/>
                    </a:stretch>
                  </pic:blipFill>
                  <pic:spPr>
                    <a:xfrm>
                      <a:off x="0" y="0"/>
                      <a:ext cx="2247900" cy="704850"/>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导入系统弹出错误框，确定后“无盈亏”表中只有正确信息在修改后一览显示。</w:t>
      </w:r>
    </w:p>
    <w:p>
      <w:pPr>
        <w:widowControl/>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drawing>
          <wp:inline distT="0" distB="0" distL="114300" distR="114300">
            <wp:extent cx="2466975" cy="809625"/>
            <wp:effectExtent l="0" t="0" r="9525" b="9525"/>
            <wp:docPr id="2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IMG_256"/>
                    <pic:cNvPicPr>
                      <a:picLocks noChangeAspect="1"/>
                    </pic:cNvPicPr>
                  </pic:nvPicPr>
                  <pic:blipFill>
                    <a:blip r:embed="rId16"/>
                    <a:stretch>
                      <a:fillRect/>
                    </a:stretch>
                  </pic:blipFill>
                  <pic:spPr>
                    <a:xfrm>
                      <a:off x="0" y="0"/>
                      <a:ext cx="2466975" cy="809625"/>
                    </a:xfrm>
                    <a:prstGeom prst="rect">
                      <a:avLst/>
                    </a:prstGeom>
                    <a:noFill/>
                    <a:ln w="9525">
                      <a:noFill/>
                    </a:ln>
                  </pic:spPr>
                </pic:pic>
              </a:graphicData>
            </a:graphic>
          </wp:inline>
        </w:drawing>
      </w:r>
    </w:p>
    <w:p>
      <w:pPr>
        <w:pStyle w:val="6"/>
        <w:ind w:firstLine="608" w:firstLineChars="190"/>
        <w:rPr>
          <w:rFonts w:ascii="黑体" w:hAnsi="黑体" w:eastAsia="黑体" w:cs="黑体"/>
          <w:sz w:val="32"/>
          <w:szCs w:val="32"/>
        </w:rPr>
      </w:pPr>
      <w:r>
        <w:rPr>
          <w:rFonts w:hint="eastAsia" w:ascii="黑体" w:hAnsi="黑体" w:eastAsia="黑体" w:cs="黑体"/>
          <w:sz w:val="32"/>
          <w:szCs w:val="32"/>
        </w:rPr>
        <w:t>（四）检查并确认结果</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完成（2）（3）步骤后，点击第（4）步，如果无误，就会弹出如下对话框，</w:t>
      </w:r>
    </w:p>
    <w:p>
      <w:pPr>
        <w:widowControl/>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drawing>
          <wp:inline distT="0" distB="0" distL="114300" distR="114300">
            <wp:extent cx="4153535" cy="2384425"/>
            <wp:effectExtent l="0" t="0" r="18415" b="15875"/>
            <wp:docPr id="2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descr="IMG_256"/>
                    <pic:cNvPicPr>
                      <a:picLocks noChangeAspect="1"/>
                    </pic:cNvPicPr>
                  </pic:nvPicPr>
                  <pic:blipFill>
                    <a:blip r:embed="rId17"/>
                    <a:stretch>
                      <a:fillRect/>
                    </a:stretch>
                  </pic:blipFill>
                  <pic:spPr>
                    <a:xfrm>
                      <a:off x="0" y="0"/>
                      <a:ext cx="4153535" cy="2384425"/>
                    </a:xfrm>
                    <a:prstGeom prst="rect">
                      <a:avLst/>
                    </a:prstGeom>
                    <a:noFill/>
                    <a:ln w="9525">
                      <a:noFill/>
                    </a:ln>
                  </pic:spPr>
                </pic:pic>
              </a:graphicData>
            </a:graphic>
          </wp:inline>
        </w:drawing>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确定后继续下一步步骤。</w:t>
      </w:r>
    </w:p>
    <w:p>
      <w:pPr>
        <w:pStyle w:val="6"/>
        <w:ind w:firstLine="608" w:firstLineChars="190"/>
        <w:rPr>
          <w:rFonts w:ascii="黑体" w:hAnsi="黑体" w:eastAsia="黑体" w:cs="黑体"/>
          <w:sz w:val="32"/>
          <w:szCs w:val="32"/>
        </w:rPr>
      </w:pPr>
      <w:r>
        <w:rPr>
          <w:rFonts w:hint="eastAsia" w:ascii="黑体" w:hAnsi="黑体" w:eastAsia="黑体" w:cs="黑体"/>
          <w:sz w:val="32"/>
          <w:szCs w:val="32"/>
        </w:rPr>
        <w:t>（五）上报</w:t>
      </w:r>
    </w:p>
    <w:p>
      <w:pPr>
        <w:pStyle w:val="6"/>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当所有资产都盘点完成后，点击上报即可。</w:t>
      </w:r>
    </w:p>
    <w:p>
      <w:pPr>
        <w:pStyle w:val="6"/>
        <w:ind w:firstLine="608" w:firstLineChars="190"/>
        <w:rPr>
          <w:rFonts w:ascii="黑体" w:hAnsi="黑体" w:eastAsia="黑体" w:cs="黑体"/>
          <w:sz w:val="32"/>
          <w:szCs w:val="32"/>
        </w:rPr>
      </w:pPr>
      <w:r>
        <w:rPr>
          <w:rFonts w:hint="eastAsia" w:ascii="黑体" w:hAnsi="黑体" w:eastAsia="黑体" w:cs="黑体"/>
          <w:sz w:val="32"/>
          <w:szCs w:val="32"/>
        </w:rPr>
        <w:t>四、注意</w:t>
      </w:r>
    </w:p>
    <w:p>
      <w:pPr>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1、由于盘点中难免会出现错误，在没有上报之前，步骤二、三、四可重复进行，后做的盘点将自动覆盖前面的盘点。特别是用Excel盘点时要特别注意。</w:t>
      </w:r>
    </w:p>
    <w:p>
      <w:pPr>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2、平实资产系统信息维护好的使用人，在盘点中资产信息确保无误，可以用快速盘点方式。</w:t>
      </w:r>
    </w:p>
    <w:p>
      <w:pPr>
        <w:snapToGrid w:val="0"/>
        <w:spacing w:line="560" w:lineRule="exact"/>
        <w:ind w:firstLine="560" w:firstLineChars="175"/>
        <w:jc w:val="left"/>
        <w:rPr>
          <w:rFonts w:ascii="黑体" w:hAnsi="黑体" w:eastAsia="黑体" w:cs="黑体"/>
          <w:sz w:val="32"/>
          <w:szCs w:val="32"/>
        </w:rPr>
      </w:pPr>
      <w:r>
        <w:rPr>
          <w:rFonts w:hint="eastAsia" w:ascii="黑体" w:hAnsi="黑体" w:eastAsia="黑体" w:cs="黑体"/>
          <w:sz w:val="32"/>
          <w:szCs w:val="32"/>
        </w:rPr>
        <w:t>五、盘点中可能遇到的问题</w:t>
      </w:r>
    </w:p>
    <w:p>
      <w:pPr>
        <w:snapToGrid w:val="0"/>
        <w:spacing w:line="56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1、盘亏，确认资产丢失。在</w:t>
      </w:r>
      <w:r>
        <w:rPr>
          <w:rFonts w:hint="eastAsia" w:ascii="仿宋_GB2312" w:hAnsi="仿宋_GB2312" w:eastAsia="仿宋_GB2312" w:cs="仿宋_GB2312"/>
          <w:b/>
          <w:bCs/>
          <w:sz w:val="32"/>
          <w:szCs w:val="32"/>
        </w:rPr>
        <w:t>盘点数量</w:t>
      </w:r>
      <w:r>
        <w:rPr>
          <w:rFonts w:hint="eastAsia" w:ascii="仿宋_GB2312" w:hAnsi="仿宋_GB2312" w:eastAsia="仿宋_GB2312" w:cs="仿宋_GB2312"/>
          <w:sz w:val="32"/>
          <w:szCs w:val="32"/>
        </w:rPr>
        <w:t>处填0（图书家具类填实际数），资产自动进入“盘亏表”。</w:t>
      </w:r>
    </w:p>
    <w:p>
      <w:pPr>
        <w:snapToGrid w:val="0"/>
        <w:spacing w:line="56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2、盘盈。另做盘盈表上报。</w:t>
      </w:r>
    </w:p>
    <w:p>
      <w:pPr>
        <w:snapToGrid w:val="0"/>
        <w:spacing w:line="56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3、闲置、毁损、待报废。在备注标明。</w:t>
      </w:r>
    </w:p>
    <w:p>
      <w:pPr>
        <w:snapToGrid w:val="0"/>
        <w:spacing w:line="56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4.资产信息有变动。可能存在的两种情况：</w:t>
      </w:r>
    </w:p>
    <w:p>
      <w:pPr>
        <w:snapToGrid w:val="0"/>
        <w:spacing w:line="56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已核实资产实物存在，但信息需要变动。在导出的Excel“8.盘点数量”填1，“20.备注”栏里标明修改后的使用部门、使用人、存放地点。然后在资产系统的“业务办理”里另行操作变动。（勿在Excel表里修改第8和第20栏之外的信息，否则容易Excel导回系统失败）</w:t>
      </w:r>
    </w:p>
    <w:p>
      <w:pPr>
        <w:snapToGrid w:val="0"/>
        <w:spacing w:line="560" w:lineRule="exact"/>
        <w:ind w:firstLine="560" w:firstLineChars="17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（2）不确定资产实物是否存在情况。在导出的Excel“8.盘点数量”填0，在“20.备注”栏里如实填写资产现状。盘点表上报后，自行查找资产去向，然后通过资产系统的“业务办理”另行操作做资产交接。</w:t>
      </w:r>
    </w:p>
    <w:p>
      <w:bookmarkStart w:id="0" w:name="_GoBack"/>
      <w:bookmarkEnd w:id="0"/>
    </w:p>
    <w:sectPr>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MzcyYTA5OTM3OGVkNjhjMGFmZWMwNTUyZThkZGMifQ=="/>
  </w:docVars>
  <w:rsids>
    <w:rsidRoot w:val="70FE35F4"/>
    <w:rsid w:val="70FE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2023-12-21T07:28:00Z</dcterms:created>
  <dc:creator>Administrator</dc:creator>
  <cp:lastModifiedBy>Administrator</cp:lastModifiedBy>
  <dcterms:modified xsi:type="dcterms:W3CDTF">2023-12-21T07:29:17Z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1058ED5C71CA4105908AC163B067A0E8_11</vt:lpwstr>
  </property>
</Properties>
</file>