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Theme="minorEastAsia" w:hAnsiTheme="minorEastAsia" w:eastAsiaTheme="minorEastAsia"/>
          <w:b/>
          <w:color w:val="auto"/>
          <w:sz w:val="28"/>
          <w:highlight w:val="none"/>
        </w:rPr>
      </w:pPr>
      <w:bookmarkStart w:id="1" w:name="_GoBack"/>
      <w:bookmarkEnd w:id="1"/>
      <w:bookmarkStart w:id="0" w:name="_Toc20779"/>
      <w:r>
        <w:rPr>
          <w:rFonts w:hint="eastAsia" w:asciiTheme="minorEastAsia" w:hAnsiTheme="minorEastAsia" w:eastAsiaTheme="minorEastAsia"/>
          <w:b/>
          <w:color w:val="auto"/>
          <w:sz w:val="28"/>
          <w:highlight w:val="none"/>
        </w:rPr>
        <w:t>采购需求</w:t>
      </w:r>
      <w:bookmarkEnd w:id="0"/>
    </w:p>
    <w:p>
      <w:pPr>
        <w:spacing w:line="360" w:lineRule="auto"/>
        <w:jc w:val="center"/>
        <w:outlineLvl w:val="1"/>
        <w:rPr>
          <w:rFonts w:hint="eastAsia" w:asciiTheme="minorEastAsia" w:hAnsiTheme="minorEastAsia" w:eastAsiaTheme="minorEastAsia"/>
          <w:b/>
          <w:color w:val="auto"/>
          <w:sz w:val="28"/>
          <w:highlight w:val="none"/>
        </w:rPr>
      </w:pPr>
      <w:r>
        <w:rPr>
          <w:rFonts w:hint="eastAsia" w:asciiTheme="minorEastAsia" w:hAnsiTheme="minorEastAsia" w:eastAsiaTheme="minorEastAsia"/>
          <w:b/>
          <w:color w:val="FF0000"/>
          <w:sz w:val="28"/>
          <w:lang w:eastAsia="zh-CN"/>
        </w:rPr>
        <w:t>（仅供参考，以磋商文件为准）</w:t>
      </w:r>
    </w:p>
    <w:p>
      <w:pPr>
        <w:pStyle w:val="2"/>
        <w:rPr>
          <w:rFonts w:hint="eastAsia"/>
        </w:rPr>
      </w:pPr>
    </w:p>
    <w:p>
      <w:pPr>
        <w:pStyle w:val="2"/>
      </w:pP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前注：</w:t>
      </w:r>
    </w:p>
    <w:p>
      <w:pPr>
        <w:spacing w:line="360" w:lineRule="auto"/>
        <w:ind w:firstLine="437"/>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本说明中提出的技术方案仅为参考，如无明确限制，供应商可以进行优化，提供满足用户实际需要的更优（或者性能实质上不低于的）服务方案，且此方案须经磋商小组评审认可</w:t>
      </w:r>
      <w:r>
        <w:rPr>
          <w:rFonts w:hint="eastAsia" w:asciiTheme="minorEastAsia" w:hAnsiTheme="minorEastAsia" w:eastAsiaTheme="minorEastAsia"/>
          <w:color w:val="auto"/>
          <w:sz w:val="24"/>
          <w:highlight w:val="none"/>
        </w:rPr>
        <w:t>。</w:t>
      </w:r>
    </w:p>
    <w:p>
      <w:pPr>
        <w:spacing w:line="360" w:lineRule="auto"/>
        <w:ind w:firstLine="437"/>
        <w:rPr>
          <w:rFonts w:asciiTheme="minorEastAsia" w:hAnsiTheme="minorEastAsia" w:eastAsiaTheme="minorEastAsia"/>
          <w:color w:val="auto"/>
          <w:sz w:val="24"/>
          <w:highlight w:val="none"/>
        </w:rPr>
      </w:pPr>
    </w:p>
    <w:p>
      <w:pPr>
        <w:spacing w:line="360" w:lineRule="auto"/>
        <w:ind w:firstLine="437"/>
        <w:outlineLvl w:val="1"/>
        <w:rPr>
          <w:rFonts w:ascii="宋体" w:hAnsi="宋体" w:eastAsia="宋体"/>
          <w:b/>
          <w:color w:val="auto"/>
          <w:sz w:val="24"/>
          <w:szCs w:val="18"/>
          <w:highlight w:val="none"/>
        </w:rPr>
      </w:pPr>
      <w:r>
        <w:rPr>
          <w:rFonts w:hint="eastAsia" w:ascii="宋体" w:hAnsi="宋体" w:eastAsia="宋体"/>
          <w:b/>
          <w:color w:val="auto"/>
          <w:sz w:val="24"/>
          <w:szCs w:val="18"/>
          <w:highlight w:val="none"/>
        </w:rPr>
        <w:t>一、采购需求前附表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90" w:type="pct"/>
            <w:vAlign w:val="center"/>
          </w:tcPr>
          <w:p>
            <w:pPr>
              <w:pStyle w:val="8"/>
              <w:pBdr>
                <w:bottom w:val="none" w:color="auto" w:sz="0" w:space="0"/>
              </w:pBdr>
              <w:tabs>
                <w:tab w:val="clear" w:pos="4153"/>
                <w:tab w:val="clear" w:pos="8306"/>
              </w:tabs>
              <w:adjustRightInd/>
              <w:spacing w:line="240" w:lineRule="auto"/>
              <w:textAlignment w:val="auto"/>
              <w:rPr>
                <w:rFonts w:ascii="宋体" w:hAnsi="宋体" w:eastAsia="宋体"/>
                <w:b/>
                <w:color w:val="auto"/>
                <w:kern w:val="2"/>
                <w:highlight w:val="none"/>
              </w:rPr>
            </w:pPr>
            <w:r>
              <w:rPr>
                <w:rFonts w:hint="eastAsia" w:ascii="宋体" w:hAnsi="宋体" w:eastAsia="宋体"/>
                <w:b/>
                <w:color w:val="auto"/>
                <w:kern w:val="2"/>
                <w:highlight w:val="none"/>
              </w:rPr>
              <w:t>序号</w:t>
            </w:r>
          </w:p>
        </w:tc>
        <w:tc>
          <w:tcPr>
            <w:tcW w:w="1192" w:type="pct"/>
            <w:vAlign w:val="center"/>
          </w:tcPr>
          <w:p>
            <w:pPr>
              <w:pStyle w:val="9"/>
              <w:widowControl w:val="0"/>
              <w:spacing w:before="0" w:beforeAutospacing="0" w:after="0" w:afterAutospacing="0" w:line="360" w:lineRule="auto"/>
              <w:rPr>
                <w:rFonts w:ascii="宋体" w:hAnsi="宋体" w:eastAsia="宋体"/>
                <w:bCs w:val="0"/>
                <w:color w:val="auto"/>
                <w:sz w:val="24"/>
                <w:highlight w:val="none"/>
              </w:rPr>
            </w:pPr>
            <w:r>
              <w:rPr>
                <w:rFonts w:hint="eastAsia" w:ascii="宋体" w:hAnsi="宋体" w:eastAsia="宋体"/>
                <w:bCs w:val="0"/>
                <w:color w:val="auto"/>
                <w:sz w:val="24"/>
                <w:highlight w:val="none"/>
              </w:rPr>
              <w:t>条款名称</w:t>
            </w:r>
          </w:p>
        </w:tc>
        <w:tc>
          <w:tcPr>
            <w:tcW w:w="3217" w:type="pct"/>
            <w:vAlign w:val="center"/>
          </w:tcPr>
          <w:p>
            <w:pPr>
              <w:pStyle w:val="9"/>
              <w:widowControl w:val="0"/>
              <w:spacing w:before="0" w:beforeAutospacing="0" w:after="0" w:afterAutospacing="0" w:line="360" w:lineRule="auto"/>
              <w:rPr>
                <w:rFonts w:ascii="宋体" w:hAnsi="宋体" w:eastAsia="宋体"/>
                <w:bCs w:val="0"/>
                <w:color w:val="auto"/>
                <w:sz w:val="24"/>
                <w:highlight w:val="none"/>
              </w:rPr>
            </w:pPr>
            <w:r>
              <w:rPr>
                <w:rFonts w:hint="eastAsia" w:ascii="宋体" w:hAnsi="宋体" w:eastAsia="宋体"/>
                <w:bCs w:val="0"/>
                <w:color w:val="auto"/>
                <w:sz w:val="24"/>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8"/>
              <w:pBdr>
                <w:bottom w:val="none" w:color="auto" w:sz="0" w:space="0"/>
              </w:pBdr>
              <w:tabs>
                <w:tab w:val="clear" w:pos="4153"/>
                <w:tab w:val="clear" w:pos="8306"/>
              </w:tabs>
              <w:adjustRightInd/>
              <w:spacing w:line="24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1</w:t>
            </w:r>
          </w:p>
        </w:tc>
        <w:tc>
          <w:tcPr>
            <w:tcW w:w="1192" w:type="pct"/>
            <w:vAlign w:val="center"/>
          </w:tcPr>
          <w:p>
            <w:pPr>
              <w:pStyle w:val="9"/>
              <w:widowControl w:val="0"/>
              <w:spacing w:before="0" w:beforeAutospacing="0" w:after="0" w:afterAutospacing="0" w:line="360" w:lineRule="auto"/>
              <w:rPr>
                <w:rFonts w:ascii="宋体" w:hAnsi="宋体" w:eastAsia="宋体"/>
                <w:b w:val="0"/>
                <w:color w:val="auto"/>
                <w:sz w:val="24"/>
                <w:highlight w:val="none"/>
              </w:rPr>
            </w:pPr>
            <w:r>
              <w:rPr>
                <w:rFonts w:hint="eastAsia" w:ascii="宋体" w:hAnsi="宋体" w:eastAsia="宋体"/>
                <w:b w:val="0"/>
                <w:color w:val="auto"/>
                <w:sz w:val="24"/>
                <w:highlight w:val="none"/>
              </w:rPr>
              <w:t>付款方式</w:t>
            </w:r>
          </w:p>
        </w:tc>
        <w:tc>
          <w:tcPr>
            <w:tcW w:w="3217" w:type="pct"/>
            <w:vAlign w:val="center"/>
          </w:tcPr>
          <w:p>
            <w:pPr>
              <w:pStyle w:val="9"/>
              <w:widowControl w:val="0"/>
              <w:spacing w:before="0" w:beforeAutospacing="0" w:after="0" w:afterAutospacing="0" w:line="360" w:lineRule="auto"/>
              <w:jc w:val="both"/>
              <w:rPr>
                <w:rFonts w:ascii="宋体" w:hAnsi="宋体" w:eastAsia="宋体"/>
                <w:b w:val="0"/>
                <w:color w:val="auto"/>
                <w:sz w:val="24"/>
                <w:highlight w:val="none"/>
                <w:u w:val="single"/>
              </w:rPr>
            </w:pPr>
            <w:r>
              <w:rPr>
                <w:rFonts w:hint="eastAsia" w:ascii="宋体" w:hAnsi="宋体" w:eastAsia="宋体"/>
                <w:b w:val="0"/>
                <w:color w:val="auto"/>
                <w:sz w:val="24"/>
                <w:highlight w:val="none"/>
                <w:u w:val="single"/>
              </w:rPr>
              <w:t>扣除相关费用后，按月结算上月的营业费用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8"/>
              <w:pBdr>
                <w:bottom w:val="none" w:color="auto" w:sz="0" w:space="0"/>
              </w:pBdr>
              <w:tabs>
                <w:tab w:val="clear" w:pos="4153"/>
                <w:tab w:val="clear" w:pos="8306"/>
              </w:tabs>
              <w:adjustRightInd/>
              <w:spacing w:line="24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2</w:t>
            </w:r>
          </w:p>
        </w:tc>
        <w:tc>
          <w:tcPr>
            <w:tcW w:w="1192" w:type="pct"/>
            <w:vAlign w:val="center"/>
          </w:tcPr>
          <w:p>
            <w:pPr>
              <w:pStyle w:val="9"/>
              <w:widowControl w:val="0"/>
              <w:spacing w:before="0" w:beforeAutospacing="0" w:after="0" w:afterAutospacing="0" w:line="360" w:lineRule="auto"/>
              <w:rPr>
                <w:rFonts w:ascii="宋体" w:hAnsi="宋体" w:eastAsia="宋体"/>
                <w:b w:val="0"/>
                <w:color w:val="auto"/>
                <w:sz w:val="24"/>
                <w:highlight w:val="none"/>
              </w:rPr>
            </w:pPr>
            <w:r>
              <w:rPr>
                <w:rFonts w:hint="eastAsia" w:ascii="宋体" w:hAnsi="宋体" w:eastAsia="宋体"/>
                <w:b w:val="0"/>
                <w:color w:val="auto"/>
                <w:sz w:val="24"/>
                <w:highlight w:val="none"/>
              </w:rPr>
              <w:t>服务地点</w:t>
            </w:r>
          </w:p>
        </w:tc>
        <w:tc>
          <w:tcPr>
            <w:tcW w:w="3217" w:type="pct"/>
            <w:vAlign w:val="center"/>
          </w:tcPr>
          <w:p>
            <w:pPr>
              <w:pStyle w:val="9"/>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亳州学院，采购人指定地点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8"/>
              <w:pBdr>
                <w:bottom w:val="none" w:color="auto" w:sz="0" w:space="0"/>
              </w:pBdr>
              <w:tabs>
                <w:tab w:val="clear" w:pos="4153"/>
                <w:tab w:val="clear" w:pos="8306"/>
              </w:tabs>
              <w:adjustRightInd/>
              <w:spacing w:line="24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3</w:t>
            </w:r>
          </w:p>
        </w:tc>
        <w:tc>
          <w:tcPr>
            <w:tcW w:w="1192" w:type="pct"/>
            <w:vAlign w:val="center"/>
          </w:tcPr>
          <w:p>
            <w:pPr>
              <w:pStyle w:val="9"/>
              <w:widowControl w:val="0"/>
              <w:spacing w:before="0" w:beforeAutospacing="0" w:after="0" w:afterAutospacing="0" w:line="360" w:lineRule="auto"/>
              <w:rPr>
                <w:rFonts w:ascii="宋体" w:hAnsi="宋体" w:eastAsia="宋体"/>
                <w:b w:val="0"/>
                <w:color w:val="auto"/>
                <w:sz w:val="24"/>
                <w:highlight w:val="none"/>
              </w:rPr>
            </w:pPr>
            <w:r>
              <w:rPr>
                <w:rFonts w:hint="eastAsia" w:ascii="宋体" w:hAnsi="宋体" w:eastAsia="宋体"/>
                <w:b w:val="0"/>
                <w:color w:val="auto"/>
                <w:sz w:val="24"/>
                <w:highlight w:val="none"/>
              </w:rPr>
              <w:t>服务期限</w:t>
            </w:r>
          </w:p>
        </w:tc>
        <w:tc>
          <w:tcPr>
            <w:tcW w:w="3217" w:type="pct"/>
            <w:vAlign w:val="center"/>
          </w:tcPr>
          <w:p>
            <w:pPr>
              <w:pStyle w:val="9"/>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服务年限为8年，采用3+3+2模式：即合同首签3年，合同期满经考核合格再续签下一阶段合同。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8"/>
              <w:pBdr>
                <w:bottom w:val="none" w:color="auto" w:sz="0" w:space="0"/>
              </w:pBdr>
              <w:tabs>
                <w:tab w:val="clear" w:pos="4153"/>
                <w:tab w:val="clear" w:pos="8306"/>
              </w:tabs>
              <w:adjustRightInd/>
              <w:spacing w:line="240" w:lineRule="auto"/>
              <w:textAlignment w:val="auto"/>
              <w:rPr>
                <w:rFonts w:asciiTheme="majorEastAsia" w:hAnsiTheme="majorEastAsia" w:eastAsiaTheme="majorEastAsia"/>
                <w:bCs/>
                <w:color w:val="auto"/>
                <w:kern w:val="2"/>
                <w:highlight w:val="none"/>
              </w:rPr>
            </w:pPr>
            <w:r>
              <w:rPr>
                <w:rFonts w:hint="eastAsia" w:ascii="宋体" w:hAnsi="宋体" w:eastAsia="宋体"/>
                <w:bCs/>
                <w:color w:val="auto"/>
                <w:kern w:val="2"/>
                <w:highlight w:val="none"/>
              </w:rPr>
              <w:t>4</w:t>
            </w:r>
          </w:p>
        </w:tc>
        <w:tc>
          <w:tcPr>
            <w:tcW w:w="1192" w:type="pct"/>
            <w:vAlign w:val="center"/>
          </w:tcPr>
          <w:p>
            <w:pPr>
              <w:pStyle w:val="9"/>
              <w:widowControl w:val="0"/>
              <w:spacing w:before="0" w:beforeAutospacing="0" w:after="0" w:afterAutospacing="0" w:line="360" w:lineRule="auto"/>
              <w:rPr>
                <w:rFonts w:asciiTheme="majorEastAsia" w:hAnsiTheme="majorEastAsia" w:eastAsiaTheme="majorEastAsia"/>
                <w:b w:val="0"/>
                <w:color w:val="auto"/>
                <w:sz w:val="24"/>
                <w:highlight w:val="none"/>
              </w:rPr>
            </w:pPr>
            <w:r>
              <w:rPr>
                <w:rFonts w:hint="eastAsia" w:ascii="宋体" w:hAnsi="宋体" w:eastAsia="宋体"/>
                <w:b w:val="0"/>
                <w:color w:val="auto"/>
                <w:sz w:val="24"/>
                <w:highlight w:val="none"/>
              </w:rPr>
              <w:t>本项目采购标的所属行业</w:t>
            </w:r>
          </w:p>
        </w:tc>
        <w:tc>
          <w:tcPr>
            <w:tcW w:w="3217" w:type="pct"/>
            <w:vAlign w:val="center"/>
          </w:tcPr>
          <w:p>
            <w:pPr>
              <w:spacing w:line="360" w:lineRule="auto"/>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租赁和商务服务业</w:t>
            </w:r>
          </w:p>
        </w:tc>
      </w:tr>
    </w:tbl>
    <w:p>
      <w:pPr>
        <w:spacing w:line="360" w:lineRule="auto"/>
        <w:ind w:firstLine="437"/>
        <w:outlineLvl w:val="1"/>
        <w:rPr>
          <w:rFonts w:ascii="宋体" w:hAnsi="宋体" w:eastAsia="宋体" w:cs="宋体"/>
          <w:b/>
          <w:bCs/>
          <w:color w:val="auto"/>
          <w:kern w:val="0"/>
          <w:sz w:val="24"/>
          <w:highlight w:val="none"/>
        </w:rPr>
      </w:pPr>
      <w:r>
        <w:rPr>
          <w:rFonts w:hint="eastAsia" w:ascii="宋体" w:hAnsi="宋体" w:eastAsia="宋体"/>
          <w:b/>
          <w:color w:val="auto"/>
          <w:sz w:val="24"/>
          <w:szCs w:val="18"/>
          <w:highlight w:val="none"/>
        </w:rPr>
        <w:t>二、项目概况</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亳州学院中医药学院为亳州学院的新校区，位于安徽亳州市高新区文采路以东、蔷薇路以南、迎春路以北，占地约601亩，新校区目前正在建设之中。</w:t>
      </w:r>
      <w:r>
        <w:rPr>
          <w:rFonts w:hint="eastAsia" w:ascii="宋体" w:hAnsi="宋体" w:eastAsia="宋体" w:cs="宋体"/>
          <w:color w:val="auto"/>
          <w:sz w:val="24"/>
          <w:szCs w:val="24"/>
          <w:highlight w:val="none"/>
        </w:rPr>
        <w:t>为合理使用能源，节约能耗，提高学生生活质量，切实解决学生在宿舍内的洗浴、洗衣、直饮水、吹风问题，我校学生宿舍洗浴、洗衣、直饮水、吹风将采用BOO模式组织实施。学校只提供场地、水源接驳点、电源接驳点，不作任何投资。全部项目内容（含管材、线缆等）由中标人全额投资建设，同时负责合同期内的管理、维护、改造费用，并依据合同承担风险和享有收益。</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亳州学院中医药学院校区学生宿舍楼</w:t>
      </w:r>
      <w:r>
        <w:rPr>
          <w:rFonts w:hint="eastAsia" w:ascii="宋体" w:hAnsi="宋体" w:eastAsia="宋体" w:cs="宋体"/>
          <w:color w:val="auto"/>
          <w:sz w:val="24"/>
          <w:szCs w:val="24"/>
          <w:highlight w:val="none"/>
          <w:u w:val="single"/>
        </w:rPr>
        <w:t xml:space="preserve"> 7 </w:t>
      </w:r>
      <w:r>
        <w:rPr>
          <w:rFonts w:hint="eastAsia" w:ascii="宋体" w:hAnsi="宋体" w:eastAsia="宋体" w:cs="宋体"/>
          <w:color w:val="auto"/>
          <w:sz w:val="24"/>
          <w:szCs w:val="24"/>
          <w:highlight w:val="none"/>
        </w:rPr>
        <w:t>栋，每栋</w:t>
      </w:r>
      <w:r>
        <w:rPr>
          <w:rFonts w:hint="eastAsia" w:ascii="宋体" w:hAnsi="宋体" w:eastAsia="宋体" w:cs="宋体"/>
          <w:color w:val="auto"/>
          <w:sz w:val="24"/>
          <w:szCs w:val="24"/>
          <w:highlight w:val="none"/>
          <w:u w:val="single"/>
        </w:rPr>
        <w:t>5</w:t>
      </w:r>
      <w:r>
        <w:rPr>
          <w:rFonts w:hint="eastAsia" w:ascii="宋体" w:hAnsi="宋体" w:eastAsia="宋体" w:cs="宋体"/>
          <w:color w:val="auto"/>
          <w:sz w:val="24"/>
          <w:szCs w:val="24"/>
          <w:highlight w:val="none"/>
        </w:rPr>
        <w:t>层，每栋各有南北楼两组。每栋楼学生宿舍人数情况如下：</w:t>
      </w:r>
    </w:p>
    <w:tbl>
      <w:tblPr>
        <w:tblStyle w:val="6"/>
        <w:tblW w:w="0" w:type="auto"/>
        <w:jc w:val="center"/>
        <w:tblLayout w:type="fixed"/>
        <w:tblCellMar>
          <w:top w:w="15" w:type="dxa"/>
          <w:left w:w="15" w:type="dxa"/>
          <w:bottom w:w="15" w:type="dxa"/>
          <w:right w:w="15" w:type="dxa"/>
        </w:tblCellMar>
      </w:tblPr>
      <w:tblGrid>
        <w:gridCol w:w="1621"/>
        <w:gridCol w:w="2635"/>
        <w:gridCol w:w="2050"/>
        <w:gridCol w:w="2039"/>
      </w:tblGrid>
      <w:tr>
        <w:tblPrEx>
          <w:tblCellMar>
            <w:top w:w="15" w:type="dxa"/>
            <w:left w:w="15" w:type="dxa"/>
            <w:bottom w:w="15" w:type="dxa"/>
            <w:right w:w="15" w:type="dxa"/>
          </w:tblCellMar>
        </w:tblPrEx>
        <w:trPr>
          <w:trHeight w:val="373" w:hRule="atLeast"/>
          <w:jc w:val="center"/>
        </w:trPr>
        <w:tc>
          <w:tcPr>
            <w:tcW w:w="1621"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auto"/>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楼层</w:t>
            </w:r>
          </w:p>
        </w:tc>
        <w:tc>
          <w:tcPr>
            <w:tcW w:w="2635" w:type="dxa"/>
            <w:tcBorders>
              <w:top w:val="single" w:color="000000" w:sz="4" w:space="0"/>
              <w:left w:val="nil"/>
              <w:bottom w:val="single" w:color="000000" w:sz="4" w:space="0"/>
              <w:right w:val="single" w:color="000000" w:sz="4" w:space="0"/>
            </w:tcBorders>
            <w:vAlign w:val="center"/>
          </w:tcPr>
          <w:p>
            <w:pPr>
              <w:spacing w:line="300" w:lineRule="auto"/>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每栋每层房间数</w:t>
            </w:r>
          </w:p>
        </w:tc>
        <w:tc>
          <w:tcPr>
            <w:tcW w:w="2050" w:type="dxa"/>
            <w:tcBorders>
              <w:top w:val="single" w:color="000000" w:sz="4" w:space="0"/>
              <w:left w:val="nil"/>
              <w:bottom w:val="single" w:color="000000" w:sz="4" w:space="0"/>
              <w:right w:val="single" w:color="000000" w:sz="4" w:space="0"/>
            </w:tcBorders>
            <w:vAlign w:val="center"/>
          </w:tcPr>
          <w:p>
            <w:pPr>
              <w:spacing w:line="300" w:lineRule="auto"/>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每层单个房间人数</w:t>
            </w:r>
          </w:p>
        </w:tc>
        <w:tc>
          <w:tcPr>
            <w:tcW w:w="2039" w:type="dxa"/>
            <w:tcBorders>
              <w:top w:val="single" w:color="000000" w:sz="4" w:space="0"/>
              <w:left w:val="nil"/>
              <w:bottom w:val="single" w:color="000000" w:sz="4" w:space="0"/>
              <w:right w:val="single" w:color="000000" w:sz="4" w:space="0"/>
            </w:tcBorders>
            <w:vAlign w:val="center"/>
          </w:tcPr>
          <w:p>
            <w:pPr>
              <w:spacing w:line="300" w:lineRule="auto"/>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每层满住人数</w:t>
            </w:r>
          </w:p>
        </w:tc>
      </w:tr>
      <w:tr>
        <w:tblPrEx>
          <w:tblCellMar>
            <w:top w:w="15" w:type="dxa"/>
            <w:left w:w="15" w:type="dxa"/>
            <w:bottom w:w="15" w:type="dxa"/>
            <w:right w:w="15" w:type="dxa"/>
          </w:tblCellMar>
        </w:tblPrEx>
        <w:trPr>
          <w:trHeight w:val="373"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auto"/>
              <w:rPr>
                <w:rFonts w:ascii="宋体" w:hAnsi="宋体" w:eastAsia="宋体" w:cs="宋体"/>
                <w:b/>
                <w:color w:val="auto"/>
                <w:sz w:val="24"/>
                <w:szCs w:val="24"/>
                <w:highlight w:val="none"/>
              </w:rPr>
            </w:pPr>
          </w:p>
        </w:tc>
        <w:tc>
          <w:tcPr>
            <w:tcW w:w="2635" w:type="dxa"/>
            <w:tcBorders>
              <w:top w:val="single" w:color="000000" w:sz="4" w:space="0"/>
              <w:left w:val="nil"/>
              <w:bottom w:val="single" w:color="000000" w:sz="4" w:space="0"/>
              <w:right w:val="single" w:color="000000" w:sz="4" w:space="0"/>
            </w:tcBorders>
            <w:vAlign w:val="center"/>
          </w:tcPr>
          <w:p>
            <w:pPr>
              <w:spacing w:line="300" w:lineRule="auto"/>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（间）</w:t>
            </w:r>
          </w:p>
        </w:tc>
        <w:tc>
          <w:tcPr>
            <w:tcW w:w="2050" w:type="dxa"/>
            <w:tcBorders>
              <w:top w:val="single" w:color="000000" w:sz="4" w:space="0"/>
              <w:left w:val="nil"/>
              <w:bottom w:val="single" w:color="000000" w:sz="4" w:space="0"/>
              <w:right w:val="single" w:color="000000" w:sz="4" w:space="0"/>
            </w:tcBorders>
            <w:vAlign w:val="center"/>
          </w:tcPr>
          <w:p>
            <w:pPr>
              <w:spacing w:line="300" w:lineRule="auto"/>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(人/间)</w:t>
            </w:r>
          </w:p>
        </w:tc>
        <w:tc>
          <w:tcPr>
            <w:tcW w:w="2039" w:type="dxa"/>
            <w:tcBorders>
              <w:top w:val="single" w:color="000000" w:sz="4" w:space="0"/>
              <w:left w:val="nil"/>
              <w:bottom w:val="single" w:color="000000" w:sz="4" w:space="0"/>
              <w:right w:val="single" w:color="000000" w:sz="4" w:space="0"/>
            </w:tcBorders>
            <w:vAlign w:val="center"/>
          </w:tcPr>
          <w:p>
            <w:pPr>
              <w:spacing w:line="300" w:lineRule="auto"/>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w:t>
            </w:r>
          </w:p>
        </w:tc>
      </w:tr>
      <w:tr>
        <w:tblPrEx>
          <w:tblCellMar>
            <w:top w:w="15" w:type="dxa"/>
            <w:left w:w="15" w:type="dxa"/>
            <w:bottom w:w="15" w:type="dxa"/>
            <w:right w:w="15" w:type="dxa"/>
          </w:tblCellMar>
        </w:tblPrEx>
        <w:trPr>
          <w:trHeight w:val="390" w:hRule="atLeast"/>
          <w:jc w:val="center"/>
        </w:trPr>
        <w:tc>
          <w:tcPr>
            <w:tcW w:w="1621" w:type="dxa"/>
            <w:tcBorders>
              <w:top w:val="single" w:color="000000" w:sz="4" w:space="0"/>
              <w:left w:val="single" w:color="000000" w:sz="4" w:space="0"/>
              <w:bottom w:val="single" w:color="auto" w:sz="4" w:space="0"/>
              <w:right w:val="single" w:color="000000" w:sz="4" w:space="0"/>
            </w:tcBorders>
            <w:vAlign w:val="center"/>
          </w:tcPr>
          <w:p>
            <w:pPr>
              <w:spacing w:line="30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1层</w:t>
            </w:r>
          </w:p>
        </w:tc>
        <w:tc>
          <w:tcPr>
            <w:tcW w:w="2635" w:type="dxa"/>
            <w:tcBorders>
              <w:top w:val="single" w:color="000000" w:sz="4" w:space="0"/>
              <w:left w:val="nil"/>
              <w:bottom w:val="single" w:color="auto" w:sz="4" w:space="0"/>
              <w:right w:val="single" w:color="000000" w:sz="4" w:space="0"/>
            </w:tcBorders>
            <w:vAlign w:val="center"/>
          </w:tcPr>
          <w:p>
            <w:pPr>
              <w:spacing w:line="30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4人间49间，2人间1间</w:t>
            </w:r>
          </w:p>
        </w:tc>
        <w:tc>
          <w:tcPr>
            <w:tcW w:w="2050" w:type="dxa"/>
            <w:tcBorders>
              <w:top w:val="single" w:color="000000" w:sz="4" w:space="0"/>
              <w:left w:val="nil"/>
              <w:bottom w:val="single" w:color="000000" w:sz="4" w:space="0"/>
              <w:right w:val="single" w:color="000000" w:sz="4" w:space="0"/>
            </w:tcBorders>
            <w:vAlign w:val="center"/>
          </w:tcPr>
          <w:p>
            <w:pPr>
              <w:spacing w:line="30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4人和2人</w:t>
            </w:r>
          </w:p>
        </w:tc>
        <w:tc>
          <w:tcPr>
            <w:tcW w:w="2039" w:type="dxa"/>
            <w:tcBorders>
              <w:top w:val="single" w:color="000000" w:sz="4" w:space="0"/>
              <w:left w:val="nil"/>
              <w:bottom w:val="single" w:color="000000" w:sz="4" w:space="0"/>
              <w:right w:val="single" w:color="000000" w:sz="4" w:space="0"/>
            </w:tcBorders>
            <w:vAlign w:val="center"/>
          </w:tcPr>
          <w:p>
            <w:pPr>
              <w:spacing w:line="30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198</w:t>
            </w:r>
          </w:p>
        </w:tc>
      </w:tr>
      <w:tr>
        <w:tblPrEx>
          <w:tblCellMar>
            <w:top w:w="15" w:type="dxa"/>
            <w:left w:w="15" w:type="dxa"/>
            <w:bottom w:w="15" w:type="dxa"/>
            <w:right w:w="15" w:type="dxa"/>
          </w:tblCellMar>
        </w:tblPrEx>
        <w:trPr>
          <w:trHeight w:val="324" w:hRule="atLeast"/>
          <w:jc w:val="center"/>
        </w:trPr>
        <w:tc>
          <w:tcPr>
            <w:tcW w:w="1621" w:type="dxa"/>
            <w:tcBorders>
              <w:top w:val="single" w:color="auto" w:sz="4" w:space="0"/>
              <w:left w:val="single" w:color="000000" w:sz="4" w:space="0"/>
              <w:bottom w:val="single" w:color="000000" w:sz="4" w:space="0"/>
              <w:right w:val="single" w:color="000000" w:sz="4" w:space="0"/>
            </w:tcBorders>
            <w:vAlign w:val="center"/>
          </w:tcPr>
          <w:p>
            <w:pPr>
              <w:spacing w:line="30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2层-5层</w:t>
            </w:r>
          </w:p>
        </w:tc>
        <w:tc>
          <w:tcPr>
            <w:tcW w:w="2635" w:type="dxa"/>
            <w:tcBorders>
              <w:top w:val="single" w:color="auto" w:sz="4" w:space="0"/>
              <w:left w:val="nil"/>
              <w:bottom w:val="single" w:color="000000" w:sz="4" w:space="0"/>
              <w:right w:val="single" w:color="000000" w:sz="4" w:space="0"/>
            </w:tcBorders>
            <w:vAlign w:val="center"/>
          </w:tcPr>
          <w:p>
            <w:pPr>
              <w:spacing w:line="30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52</w:t>
            </w:r>
          </w:p>
        </w:tc>
        <w:tc>
          <w:tcPr>
            <w:tcW w:w="2050" w:type="dxa"/>
            <w:tcBorders>
              <w:top w:val="single" w:color="000000" w:sz="4" w:space="0"/>
              <w:left w:val="nil"/>
              <w:bottom w:val="single" w:color="000000" w:sz="4" w:space="0"/>
              <w:right w:val="single" w:color="000000" w:sz="4" w:space="0"/>
            </w:tcBorders>
            <w:vAlign w:val="center"/>
          </w:tcPr>
          <w:p>
            <w:pPr>
              <w:spacing w:line="30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4人</w:t>
            </w:r>
          </w:p>
        </w:tc>
        <w:tc>
          <w:tcPr>
            <w:tcW w:w="2039" w:type="dxa"/>
            <w:tcBorders>
              <w:top w:val="single" w:color="000000" w:sz="4" w:space="0"/>
              <w:left w:val="nil"/>
              <w:bottom w:val="single" w:color="000000" w:sz="4" w:space="0"/>
              <w:right w:val="single" w:color="000000" w:sz="4" w:space="0"/>
            </w:tcBorders>
            <w:vAlign w:val="center"/>
          </w:tcPr>
          <w:p>
            <w:pPr>
              <w:spacing w:line="30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208</w:t>
            </w:r>
          </w:p>
        </w:tc>
      </w:tr>
      <w:tr>
        <w:tblPrEx>
          <w:tblCellMar>
            <w:top w:w="15" w:type="dxa"/>
            <w:left w:w="15" w:type="dxa"/>
            <w:bottom w:w="15" w:type="dxa"/>
            <w:right w:w="15" w:type="dxa"/>
          </w:tblCellMar>
        </w:tblPrEx>
        <w:trPr>
          <w:trHeight w:val="390" w:hRule="atLeast"/>
          <w:jc w:val="center"/>
        </w:trPr>
        <w:tc>
          <w:tcPr>
            <w:tcW w:w="6306"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每栋小计(198+208*4)</w:t>
            </w:r>
          </w:p>
        </w:tc>
        <w:tc>
          <w:tcPr>
            <w:tcW w:w="2039" w:type="dxa"/>
            <w:tcBorders>
              <w:top w:val="single" w:color="000000" w:sz="4" w:space="0"/>
              <w:left w:val="nil"/>
              <w:bottom w:val="single" w:color="000000" w:sz="4" w:space="0"/>
              <w:right w:val="single" w:color="000000" w:sz="4" w:space="0"/>
            </w:tcBorders>
            <w:vAlign w:val="center"/>
          </w:tcPr>
          <w:p>
            <w:pPr>
              <w:spacing w:line="300" w:lineRule="auto"/>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1030</w:t>
            </w:r>
          </w:p>
        </w:tc>
      </w:tr>
    </w:tbl>
    <w:p>
      <w:pPr>
        <w:spacing w:line="360" w:lineRule="auto"/>
        <w:ind w:firstLine="465"/>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特别说明：每栋楼的南北楼在1-5层均设置有淋浴间、盥洗间、晾衣机、开水间、保洁室。在每层的淋浴间和设备间内设置洗浴、洗衣、直饮水、吹风。表中人数仅作参考，不作为投标和合同签订与履约的依据。</w:t>
      </w:r>
    </w:p>
    <w:p>
      <w:pPr>
        <w:widowControl/>
        <w:shd w:val="clear" w:color="auto" w:fill="FFFFFF"/>
        <w:spacing w:line="360" w:lineRule="auto"/>
        <w:ind w:firstLine="482" w:firstLineChars="200"/>
        <w:outlineLvl w:val="1"/>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三、合作模式</w:t>
      </w:r>
    </w:p>
    <w:p>
      <w:pPr>
        <w:widowControl/>
        <w:shd w:val="clear" w:color="auto" w:fill="FFFFFF"/>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1.本项目不收取管理费。</w:t>
      </w:r>
    </w:p>
    <w:p>
      <w:pPr>
        <w:widowControl/>
        <w:shd w:val="clear" w:color="auto" w:fill="FFFFFF"/>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提供洗浴、洗衣、直饮水、吹风安装场所，成交供应商全额投资改造建设相关项目，安装设置全新设备、水电计量表具等，并负责项目的管理和运营。中医药学院校区为新校区，学生规模是逐年增加，未来3年，在校生人数预计可达3000人，5-8年学生人数预计稳定在5000-6000人。</w:t>
      </w:r>
      <w:r>
        <w:rPr>
          <w:rFonts w:hint="eastAsia" w:ascii="宋体" w:hAnsi="宋体" w:eastAsia="宋体" w:cs="宋体"/>
          <w:b/>
          <w:color w:val="auto"/>
          <w:sz w:val="24"/>
          <w:szCs w:val="24"/>
          <w:highlight w:val="none"/>
          <w:u w:val="single"/>
        </w:rPr>
        <w:t>采购人不保证在校生人数一定达到预计人数，成交供应商应根据采购人的在校生人数，合理考虑建设周期。允许成交供应商按采购人要求，根据在校学生情况分批次投资建设（但基础的管、线安装等需要预先铺设的工程施工须与工程建设衔接，不得出现工程结束后，再改造楼宇基础设施，仅允许后期在楼宇投入使用时，直接安装设备即可投入使用），允许成交供应商对学生宿舍该项目场进行深化设计，但须符合规范，须征得采购人同意。</w:t>
      </w:r>
    </w:p>
    <w:p>
      <w:pPr>
        <w:widowControl/>
        <w:shd w:val="clear" w:color="auto" w:fill="FFFFFF"/>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3.成交供应商承担项目运营服务所产生的水、电、人工等费用，并承担项目运维费用。</w:t>
      </w:r>
    </w:p>
    <w:p>
      <w:pPr>
        <w:widowControl/>
        <w:shd w:val="clear" w:color="auto" w:fill="FFFFFF"/>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4.成交供应商按照成交价格收取项目相关费用，获得合理利润。</w:t>
      </w:r>
    </w:p>
    <w:p>
      <w:pPr>
        <w:widowControl/>
        <w:shd w:val="clear" w:color="auto" w:fill="FFFFFF"/>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kern w:val="0"/>
          <w:sz w:val="24"/>
          <w:szCs w:val="24"/>
          <w:highlight w:val="none"/>
        </w:rPr>
        <w:t>经营期限届满后，成交供应商所投入的可移动的设施、设备须自行拆除、恢复原状，但电线、电缆、管材、装潢装修、设施改造、水电计量表具等须采购人同意后方可拆除、清场，成交供应商不得要求采购人予以资产补偿。</w:t>
      </w:r>
    </w:p>
    <w:p>
      <w:pPr>
        <w:widowControl/>
        <w:shd w:val="clear" w:color="auto" w:fill="FFFFFF"/>
        <w:spacing w:line="360" w:lineRule="auto"/>
        <w:ind w:firstLine="482" w:firstLineChars="200"/>
        <w:outlineLvl w:val="1"/>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四、费用、价格</w:t>
      </w:r>
    </w:p>
    <w:p>
      <w:pPr>
        <w:tabs>
          <w:tab w:val="left" w:pos="1290"/>
        </w:tabs>
        <w:spacing w:line="300" w:lineRule="auto"/>
        <w:ind w:firstLine="480" w:firstLineChars="200"/>
        <w:outlineLvl w:val="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1.服务项目价格（此为控制价，按成交供应商的报价执行）</w:t>
      </w:r>
    </w:p>
    <w:tbl>
      <w:tblPr>
        <w:tblStyle w:val="6"/>
        <w:tblW w:w="744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53"/>
        <w:gridCol w:w="50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235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w:t>
            </w:r>
          </w:p>
        </w:tc>
        <w:tc>
          <w:tcPr>
            <w:tcW w:w="509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服务控制价格（元）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235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1.洗浴热水价格：</w:t>
            </w:r>
          </w:p>
        </w:tc>
        <w:tc>
          <w:tcPr>
            <w:tcW w:w="509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0.04元/升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353" w:type="dxa"/>
            <w:vMerge w:val="restart"/>
            <w:tcBorders>
              <w:top w:val="single" w:color="auto" w:sz="4" w:space="0"/>
              <w:left w:val="single" w:color="auto" w:sz="4" w:space="0"/>
              <w:right w:val="single" w:color="auto" w:sz="4" w:space="0"/>
            </w:tcBorders>
            <w:vAlign w:val="center"/>
          </w:tcPr>
          <w:p>
            <w:pPr>
              <w:spacing w:line="30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2.自助洗衣价格：</w:t>
            </w:r>
          </w:p>
        </w:tc>
        <w:tc>
          <w:tcPr>
            <w:tcW w:w="509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单脱水 1元/次（6分钟）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2353" w:type="dxa"/>
            <w:vMerge w:val="continue"/>
            <w:tcBorders>
              <w:left w:val="single" w:color="auto" w:sz="4" w:space="0"/>
              <w:right w:val="single" w:color="auto" w:sz="4" w:space="0"/>
            </w:tcBorders>
            <w:vAlign w:val="center"/>
          </w:tcPr>
          <w:p>
            <w:pPr>
              <w:spacing w:line="300" w:lineRule="auto"/>
              <w:jc w:val="center"/>
              <w:rPr>
                <w:rFonts w:ascii="宋体" w:hAnsi="宋体" w:eastAsia="宋体" w:cs="宋体"/>
                <w:color w:val="auto"/>
                <w:sz w:val="24"/>
                <w:szCs w:val="24"/>
                <w:highlight w:val="none"/>
              </w:rPr>
            </w:pPr>
          </w:p>
        </w:tc>
        <w:tc>
          <w:tcPr>
            <w:tcW w:w="509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快洗  2元/次（25分钟）；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353" w:type="dxa"/>
            <w:vMerge w:val="continue"/>
            <w:tcBorders>
              <w:left w:val="single" w:color="auto" w:sz="4" w:space="0"/>
              <w:right w:val="single" w:color="auto" w:sz="4" w:space="0"/>
            </w:tcBorders>
            <w:vAlign w:val="center"/>
          </w:tcPr>
          <w:p>
            <w:pPr>
              <w:spacing w:line="300" w:lineRule="auto"/>
              <w:jc w:val="center"/>
              <w:rPr>
                <w:rFonts w:ascii="宋体" w:hAnsi="宋体" w:eastAsia="宋体" w:cs="宋体"/>
                <w:color w:val="auto"/>
                <w:sz w:val="24"/>
                <w:szCs w:val="24"/>
                <w:highlight w:val="none"/>
              </w:rPr>
            </w:pPr>
          </w:p>
        </w:tc>
        <w:tc>
          <w:tcPr>
            <w:tcW w:w="5090" w:type="dxa"/>
            <w:tcBorders>
              <w:top w:val="single" w:color="auto" w:sz="4" w:space="0"/>
              <w:left w:val="single" w:color="auto" w:sz="4" w:space="0"/>
              <w:right w:val="single" w:color="auto" w:sz="4" w:space="0"/>
            </w:tcBorders>
            <w:vAlign w:val="center"/>
          </w:tcPr>
          <w:p>
            <w:pPr>
              <w:spacing w:line="30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标准洗 3元/次（40分钟）；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2353" w:type="dxa"/>
            <w:tcBorders>
              <w:top w:val="single" w:color="auto" w:sz="4" w:space="0"/>
              <w:left w:val="single" w:color="auto" w:sz="4" w:space="0"/>
              <w:right w:val="single" w:color="auto" w:sz="4" w:space="0"/>
            </w:tcBorders>
            <w:vAlign w:val="center"/>
          </w:tcPr>
          <w:p>
            <w:pPr>
              <w:spacing w:line="30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3.直饮开水价格：</w:t>
            </w:r>
          </w:p>
        </w:tc>
        <w:tc>
          <w:tcPr>
            <w:tcW w:w="5090" w:type="dxa"/>
            <w:tcBorders>
              <w:top w:val="single" w:color="auto" w:sz="4" w:space="0"/>
              <w:left w:val="single" w:color="auto" w:sz="4" w:space="0"/>
              <w:right w:val="single" w:color="auto" w:sz="4" w:space="0"/>
            </w:tcBorders>
            <w:vAlign w:val="center"/>
          </w:tcPr>
          <w:p>
            <w:pPr>
              <w:spacing w:line="30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0.16元/升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235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6.自助吹风价格：</w:t>
            </w:r>
          </w:p>
        </w:tc>
        <w:tc>
          <w:tcPr>
            <w:tcW w:w="5090" w:type="dxa"/>
            <w:tcBorders>
              <w:top w:val="single" w:color="auto" w:sz="4" w:space="0"/>
              <w:left w:val="single" w:color="auto" w:sz="4" w:space="0"/>
              <w:bottom w:val="single" w:color="auto" w:sz="4" w:space="0"/>
              <w:right w:val="single" w:color="auto" w:sz="4" w:space="0"/>
            </w:tcBorders>
            <w:vAlign w:val="center"/>
          </w:tcPr>
          <w:p>
            <w:pPr>
              <w:spacing w:line="300" w:lineRule="auto"/>
              <w:ind w:left="7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0.15元/分钟（至少设三个档：2分钟、5分钟、10分钟）</w:t>
            </w:r>
          </w:p>
        </w:tc>
      </w:tr>
    </w:tbl>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说明：成交供应商的报价为税后价，各种税费和其它应缴纳的费用均应包含在内。供应商编制响应文件时应对合同执行期间可能出现的政策、环境和市场的变化等带来的资金风险等可能影响价格的因素，做出正确的评估，否则，造成经济风险，责任自负。</w:t>
      </w:r>
    </w:p>
    <w:p>
      <w:pPr>
        <w:widowControl/>
        <w:shd w:val="clear" w:color="auto" w:fill="FFFFFF"/>
        <w:spacing w:line="360" w:lineRule="auto"/>
        <w:ind w:firstLine="480" w:firstLineChars="200"/>
        <w:outlineLvl w:val="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2.费用结算</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（1）水电费用：</w:t>
      </w:r>
      <w:r>
        <w:rPr>
          <w:rFonts w:hint="eastAsia" w:ascii="宋体" w:hAnsi="宋体" w:eastAsia="宋体" w:cs="宋体"/>
          <w:color w:val="auto"/>
          <w:sz w:val="24"/>
          <w:szCs w:val="24"/>
          <w:highlight w:val="none"/>
          <w:u w:val="single"/>
        </w:rPr>
        <w:t>项目运行所产生的所有水电费用由中标人全额承担，中标人须安装水、电智能计量设备，实现水、电费预缴（电费按0.62元/度，水费按2.55元/吨，如遇水电费价格因政策性调整或其他因素，可予以调整结算，服务价格标准与采购人协商后进行相应适当调整）</w:t>
      </w:r>
      <w:r>
        <w:rPr>
          <w:rFonts w:hint="eastAsia" w:ascii="宋体" w:hAnsi="宋体" w:eastAsia="宋体" w:cs="宋体"/>
          <w:color w:val="auto"/>
          <w:sz w:val="24"/>
          <w:szCs w:val="24"/>
          <w:highlight w:val="none"/>
        </w:rPr>
        <w:t>。供应商须自行勘察现场，确定水电接口位置和排水口、水电计量表具安装等。水电表均采用远传智能表，自动收集数据并上传，实时掌控用能信息，若采购人要求对接，则成交供应商免费负责与采购人节能平台对接。</w:t>
      </w:r>
      <w:r>
        <w:rPr>
          <w:rFonts w:hint="eastAsia" w:ascii="宋体" w:hAnsi="宋体" w:eastAsia="宋体" w:cs="宋体"/>
          <w:b/>
          <w:color w:val="auto"/>
          <w:sz w:val="24"/>
          <w:szCs w:val="24"/>
          <w:highlight w:val="none"/>
          <w:u w:val="single"/>
        </w:rPr>
        <w:t>整个淋浴间、盥洗间、晾衣机、开水间、保洁室的水电费用均由成交供应商承担。</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（2）违约金：成交供应商的违约金应主动缴纳，若不按时缴纳，则采购人人有权从营业额中扣除。</w:t>
      </w:r>
    </w:p>
    <w:p>
      <w:pPr>
        <w:widowControl/>
        <w:snapToGrid w:val="0"/>
        <w:spacing w:line="360" w:lineRule="auto"/>
        <w:ind w:firstLine="542" w:firstLineChars="225"/>
        <w:jc w:val="left"/>
        <w:outlineLvl w:val="1"/>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五、服务要求</w:t>
      </w:r>
    </w:p>
    <w:p>
      <w:pPr>
        <w:widowControl/>
        <w:snapToGrid w:val="0"/>
        <w:spacing w:line="360" w:lineRule="auto"/>
        <w:ind w:firstLine="542" w:firstLineChars="225"/>
        <w:jc w:val="left"/>
        <w:outlineLvl w:val="2"/>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（一）项目总体核心服务要求</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不分季节，学生宿舍洗浴、洗衣、直饮水、吹风等项目必须充分满足约每栋楼1030名学生的使用需求，不得出现不够或不能使用现象，否则，成交供应商无条件采取整改措施，一般问题12小时内必须解决，重大问题24小时内必须解决，否则计“重大违约”一次。</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2.计费要求：洗浴、直饮水必须按流量计费，洗衣机、吹风机必须按时间计费，精确到每分钱，不得出现超成交价收费情况。</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成交供应商负责项目的设计、建设和运行。消费、结算要纳入亳州学院校园一卡通统一管理，支持已发行校园卡片及虚拟卡的消费使用（目前学校使用的是新开普一卡通系统），学生充值、消费的资金必须进入采购人指定监管账户，未经采购人同意，不得采用其他方式收费，否则计“重大违约”一次。鉴于洗衣机的特殊情况，洗衣服务的消费、结算允许不使用一卡通卡刷卡消费，但消费资金必须进入采购人指定监管账户。且若使用非一卡通卡消费，不允许预充值。</w:t>
      </w:r>
    </w:p>
    <w:p>
      <w:pPr>
        <w:widowControl/>
        <w:snapToGrid w:val="0"/>
        <w:spacing w:line="360" w:lineRule="auto"/>
        <w:ind w:firstLine="540" w:firstLineChars="225"/>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4.因成交供应商原因造成采购人的任何损失（包含且不限于楼宇资产被破坏、师生使用成交供应商设备受伤害），均由成交供应商承担赔偿责任。</w:t>
      </w:r>
    </w:p>
    <w:p>
      <w:pPr>
        <w:widowControl/>
        <w:snapToGrid w:val="0"/>
        <w:spacing w:line="360" w:lineRule="auto"/>
        <w:ind w:firstLine="540" w:firstLineChars="225"/>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采购人有权安排第三方质量监督单位监督成交供应商的施工质量，产生的费用由成交供应商承担。成交供应商须服从采购人的工程现场管理，否则计“重大违约”1次，并限期整改，拒不整改的，采购人有权单方面解除合同。</w:t>
      </w:r>
    </w:p>
    <w:p>
      <w:pPr>
        <w:widowControl/>
        <w:snapToGrid w:val="0"/>
        <w:spacing w:line="360" w:lineRule="auto"/>
        <w:ind w:firstLine="540" w:firstLineChars="225"/>
        <w:jc w:val="left"/>
        <w:rPr>
          <w:rFonts w:ascii="宋体" w:hAnsi="宋体" w:eastAsia="宋体" w:cs="宋体"/>
          <w:b/>
          <w:color w:val="auto"/>
          <w:sz w:val="24"/>
          <w:szCs w:val="24"/>
          <w:highlight w:val="none"/>
          <w:u w:val="single"/>
        </w:rPr>
      </w:pPr>
      <w:r>
        <w:rPr>
          <w:rFonts w:hint="eastAsia" w:ascii="宋体" w:hAnsi="宋体" w:eastAsia="宋体" w:cs="宋体"/>
          <w:color w:val="auto"/>
          <w:kern w:val="0"/>
          <w:sz w:val="24"/>
          <w:szCs w:val="24"/>
          <w:highlight w:val="none"/>
          <w:u w:val="single"/>
        </w:rPr>
        <w:t>6.</w:t>
      </w:r>
      <w:r>
        <w:rPr>
          <w:rFonts w:hint="eastAsia" w:ascii="宋体" w:hAnsi="宋体" w:eastAsia="宋体" w:cs="宋体"/>
          <w:color w:val="auto"/>
          <w:sz w:val="24"/>
          <w:szCs w:val="24"/>
          <w:highlight w:val="none"/>
          <w:u w:val="single"/>
        </w:rPr>
        <w:t>成交供应商</w:t>
      </w:r>
      <w:r>
        <w:rPr>
          <w:rFonts w:hint="eastAsia" w:ascii="宋体" w:hAnsi="宋体" w:eastAsia="宋体" w:cs="宋体"/>
          <w:color w:val="auto"/>
          <w:kern w:val="0"/>
          <w:sz w:val="24"/>
          <w:szCs w:val="24"/>
          <w:highlight w:val="none"/>
          <w:u w:val="single"/>
        </w:rPr>
        <w:t>提供的对接水管材质如给水管PPR管的品牌建议用浙江中财、沈阳金德、佛山日丰、伟星或更优于此类的品牌，电线电缆的品牌建议用绿宝、环宇、远东、虹达、恒达或更优于此类的品牌，规格须满足规范。</w:t>
      </w:r>
    </w:p>
    <w:p>
      <w:pPr>
        <w:widowControl/>
        <w:snapToGrid w:val="0"/>
        <w:spacing w:line="360" w:lineRule="auto"/>
        <w:ind w:firstLine="542" w:firstLineChars="225"/>
        <w:jc w:val="left"/>
        <w:outlineLvl w:val="2"/>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（二）洗浴核心服务要求</w:t>
      </w:r>
    </w:p>
    <w:p>
      <w:pPr>
        <w:shd w:val="clear" w:color="auto" w:fill="FFFFFF"/>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1.学生宿舍洗浴热水采用太阳能、空气源热泵热水系统供应，利用每层设置的淋浴间，安装淋浴系统、淋浴隔断、浴帘、淋浴喷头排换气设施设备等。按照采购人作息时间供应热水。</w:t>
      </w:r>
    </w:p>
    <w:p>
      <w:pPr>
        <w:shd w:val="clear" w:color="auto" w:fill="FFFFFF"/>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2.主机制水水温45—60℃可控。学生洗浴热水采用恒温恒压供水。热水供水温度可根据天气情况进行适当调整。</w:t>
      </w:r>
    </w:p>
    <w:p>
      <w:pPr>
        <w:shd w:val="clear" w:color="auto" w:fill="FFFFFF"/>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3.学生每次开始使用时热水温度低于40℃的不超过2L（实测）。</w:t>
      </w:r>
    </w:p>
    <w:p>
      <w:pPr>
        <w:shd w:val="clear" w:color="auto" w:fill="FFFFFF"/>
        <w:spacing w:line="360" w:lineRule="auto"/>
        <w:ind w:firstLine="480" w:firstLineChars="200"/>
        <w:rPr>
          <w:rFonts w:ascii="宋体" w:hAnsi="宋体" w:eastAsia="宋体" w:cs="宋体"/>
          <w:color w:val="auto"/>
          <w:kern w:val="0"/>
          <w:sz w:val="24"/>
          <w:szCs w:val="24"/>
          <w:highlight w:val="none"/>
          <w:lang w:val="zh-CN"/>
        </w:rPr>
      </w:pPr>
      <w:r>
        <w:rPr>
          <w:rFonts w:hint="eastAsia" w:ascii="宋体" w:hAnsi="宋体" w:eastAsia="宋体" w:cs="宋体"/>
          <w:color w:val="auto"/>
          <w:sz w:val="24"/>
          <w:szCs w:val="24"/>
          <w:highlight w:val="none"/>
        </w:rPr>
        <w:t>4.</w:t>
      </w:r>
      <w:r>
        <w:rPr>
          <w:rFonts w:hint="eastAsia" w:ascii="宋体" w:hAnsi="宋体" w:eastAsia="宋体" w:cs="宋体"/>
          <w:color w:val="auto"/>
          <w:kern w:val="0"/>
          <w:sz w:val="24"/>
          <w:szCs w:val="24"/>
          <w:highlight w:val="none"/>
          <w:lang w:val="zh-CN"/>
        </w:rPr>
        <w:t>安徽亳州地区冬季平均气温相对较低，在冬季必须要考虑机组防冻和化霜。要求机组配置时按冬季低温环境下－</w:t>
      </w:r>
      <w:r>
        <w:rPr>
          <w:rFonts w:hint="eastAsia" w:ascii="宋体" w:hAnsi="宋体" w:eastAsia="宋体" w:cs="宋体"/>
          <w:color w:val="auto"/>
          <w:kern w:val="0"/>
          <w:sz w:val="24"/>
          <w:szCs w:val="24"/>
          <w:highlight w:val="none"/>
        </w:rPr>
        <w:t>10</w:t>
      </w:r>
      <w:r>
        <w:rPr>
          <w:rFonts w:hint="eastAsia" w:ascii="宋体" w:hAnsi="宋体" w:eastAsia="宋体" w:cs="宋体"/>
          <w:color w:val="auto"/>
          <w:kern w:val="0"/>
          <w:sz w:val="24"/>
          <w:szCs w:val="24"/>
          <w:highlight w:val="none"/>
          <w:lang w:val="zh-CN"/>
        </w:rPr>
        <w:t>℃进行配置，使用先进、高效、环保、安全的空气源热泵机组，并拥有防冻和快速除霜技术，有效保证制热水能力，</w:t>
      </w:r>
      <w:r>
        <w:rPr>
          <w:rFonts w:hint="eastAsia" w:ascii="宋体" w:hAnsi="宋体" w:eastAsia="宋体" w:cs="宋体"/>
          <w:color w:val="auto"/>
          <w:sz w:val="24"/>
          <w:szCs w:val="24"/>
          <w:highlight w:val="none"/>
        </w:rPr>
        <w:t>设备制热量可以满足学生用水需求</w:t>
      </w:r>
      <w:r>
        <w:rPr>
          <w:rFonts w:hint="eastAsia" w:ascii="宋体" w:hAnsi="宋体" w:eastAsia="宋体" w:cs="宋体"/>
          <w:color w:val="auto"/>
          <w:kern w:val="0"/>
          <w:sz w:val="24"/>
          <w:szCs w:val="24"/>
          <w:highlight w:val="none"/>
          <w:lang w:val="zh-CN"/>
        </w:rPr>
        <w:t>。</w:t>
      </w:r>
    </w:p>
    <w:p>
      <w:pPr>
        <w:shd w:val="clear" w:color="auto" w:fill="FFFFFF"/>
        <w:spacing w:line="360" w:lineRule="auto"/>
        <w:ind w:firstLine="482" w:firstLineChars="200"/>
        <w:rPr>
          <w:rFonts w:ascii="宋体" w:hAnsi="宋体" w:eastAsia="宋体" w:cs="宋体"/>
          <w:b/>
          <w:color w:val="auto"/>
          <w:kern w:val="0"/>
          <w:sz w:val="24"/>
          <w:szCs w:val="24"/>
          <w:highlight w:val="none"/>
          <w:u w:val="single"/>
          <w:lang w:val="zh-CN"/>
        </w:rPr>
      </w:pPr>
      <w:r>
        <w:rPr>
          <w:rFonts w:hint="eastAsia" w:ascii="宋体" w:hAnsi="宋体" w:eastAsia="宋体" w:cs="宋体"/>
          <w:b/>
          <w:color w:val="auto"/>
          <w:kern w:val="0"/>
          <w:sz w:val="24"/>
          <w:szCs w:val="24"/>
          <w:highlight w:val="none"/>
          <w:u w:val="single"/>
          <w:lang w:val="zh-CN"/>
        </w:rPr>
        <w:t>5.空气源热泵机组和保温水箱、太阳能等安装在楼顶屋面上，放置于指定位置。成交供应商须</w:t>
      </w:r>
      <w:r>
        <w:rPr>
          <w:rFonts w:hint="eastAsia" w:ascii="宋体" w:hAnsi="宋体" w:eastAsia="宋体" w:cs="宋体"/>
          <w:b/>
          <w:color w:val="auto"/>
          <w:sz w:val="24"/>
          <w:szCs w:val="24"/>
          <w:highlight w:val="none"/>
          <w:u w:val="single"/>
        </w:rPr>
        <w:t>做好楼顶防水、防爆、防坠落、围护、防噪音、防振动等措施</w:t>
      </w:r>
      <w:r>
        <w:rPr>
          <w:rFonts w:hint="eastAsia" w:ascii="宋体" w:hAnsi="宋体" w:eastAsia="宋体" w:cs="宋体"/>
          <w:b/>
          <w:color w:val="auto"/>
          <w:kern w:val="0"/>
          <w:sz w:val="24"/>
          <w:szCs w:val="24"/>
          <w:highlight w:val="none"/>
          <w:u w:val="single"/>
          <w:lang w:val="zh-CN"/>
        </w:rPr>
        <w:t>并做好安全标语。根据绿色建筑设计要求，每栋楼的太阳能设计面积要求不低于504平方米（南北楼两组在一起），每组4.2平方，共120组。每栋楼的南北楼上分别设计有长4000宽3000高2000mm的集热水箱，集热水箱的基础已经在土建中完成，太阳能的基础须成交供应商完成，但须按施工规范实施，做到保护屋面，否则，由成交供应商承担维修或恢复责任（费用由成交供应商承担）。成交供应商应考虑建筑物承载能力，必要时需进行加固处理或采取其它处理措施。</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7.整个系统改造后，在运行或静态时均不出现渗漏现象，水温、水质检验符合要求。</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8.每学期至少出具一次水质检测报告，检测机构可由采购人指定，但检测费用由</w:t>
      </w:r>
      <w:r>
        <w:rPr>
          <w:rFonts w:hint="eastAsia" w:ascii="宋体" w:hAnsi="宋体" w:eastAsia="宋体" w:cs="宋体"/>
          <w:b/>
          <w:color w:val="auto"/>
          <w:kern w:val="0"/>
          <w:sz w:val="24"/>
          <w:szCs w:val="24"/>
          <w:highlight w:val="none"/>
          <w:u w:val="single"/>
          <w:lang w:val="zh-CN"/>
        </w:rPr>
        <w:t>成交供应商</w:t>
      </w:r>
      <w:r>
        <w:rPr>
          <w:rFonts w:hint="eastAsia" w:ascii="宋体" w:hAnsi="宋体" w:eastAsia="宋体" w:cs="宋体"/>
          <w:color w:val="auto"/>
          <w:sz w:val="24"/>
          <w:szCs w:val="24"/>
          <w:highlight w:val="none"/>
        </w:rPr>
        <w:t>承担。</w:t>
      </w:r>
    </w:p>
    <w:p>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9.允许</w:t>
      </w:r>
      <w:r>
        <w:rPr>
          <w:rFonts w:hint="eastAsia" w:ascii="宋体" w:hAnsi="宋体" w:eastAsia="宋体" w:cs="宋体"/>
          <w:b/>
          <w:color w:val="auto"/>
          <w:kern w:val="0"/>
          <w:sz w:val="24"/>
          <w:szCs w:val="24"/>
          <w:highlight w:val="none"/>
          <w:u w:val="single"/>
          <w:lang w:val="zh-CN"/>
        </w:rPr>
        <w:t>成交供应商</w:t>
      </w:r>
      <w:r>
        <w:rPr>
          <w:rFonts w:hint="eastAsia" w:ascii="宋体" w:hAnsi="宋体" w:eastAsia="宋体" w:cs="宋体"/>
          <w:color w:val="auto"/>
          <w:sz w:val="24"/>
          <w:szCs w:val="24"/>
          <w:highlight w:val="none"/>
          <w:u w:val="single"/>
        </w:rPr>
        <w:t>在盥洗室的洗衣池处延伸安装热水，热水收费价格不得高于洗浴热水价格。</w:t>
      </w:r>
    </w:p>
    <w:p>
      <w:pPr>
        <w:tabs>
          <w:tab w:val="left" w:pos="1290"/>
        </w:tabs>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10.宿舍淋浴室装修改造要求(通风、保暖、卫生、安全、防滑、排水、除湿、环保等)</w:t>
      </w:r>
    </w:p>
    <w:p>
      <w:pPr>
        <w:tabs>
          <w:tab w:val="left" w:pos="1290"/>
        </w:tabs>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1 \* GB3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装修要求：</w:t>
      </w:r>
    </w:p>
    <w:p>
      <w:pPr>
        <w:tabs>
          <w:tab w:val="left" w:pos="1290"/>
        </w:tabs>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宿舍淋</w:t>
      </w:r>
      <w:r>
        <w:rPr>
          <w:rFonts w:hint="eastAsia" w:ascii="宋体" w:hAnsi="宋体" w:eastAsia="宋体" w:cs="宋体"/>
          <w:color w:val="auto"/>
          <w:kern w:val="0"/>
          <w:sz w:val="24"/>
          <w:szCs w:val="24"/>
          <w:highlight w:val="none"/>
        </w:rPr>
        <w:t>浴室装修应充分考虑通风条件、室内保温，</w:t>
      </w:r>
      <w:r>
        <w:rPr>
          <w:rFonts w:hint="eastAsia" w:ascii="宋体" w:hAnsi="宋体" w:eastAsia="宋体" w:cs="宋体"/>
          <w:color w:val="auto"/>
          <w:sz w:val="24"/>
          <w:szCs w:val="24"/>
          <w:highlight w:val="none"/>
        </w:rPr>
        <w:t>宿舍淋</w:t>
      </w:r>
      <w:r>
        <w:rPr>
          <w:rFonts w:hint="eastAsia" w:ascii="宋体" w:hAnsi="宋体" w:eastAsia="宋体" w:cs="宋体"/>
          <w:color w:val="auto"/>
          <w:kern w:val="0"/>
          <w:sz w:val="24"/>
          <w:szCs w:val="24"/>
          <w:highlight w:val="none"/>
        </w:rPr>
        <w:t>浴室须安装机械通风设施，保持通风良好，空气清洁。地面、墙面和隔断材料的选择，应考虑防滑、耐酸、耐碱，并便于清洗和除污，隔断采用不透水材料。</w:t>
      </w:r>
      <w:r>
        <w:rPr>
          <w:rFonts w:hint="eastAsia" w:ascii="宋体" w:hAnsi="宋体" w:eastAsia="宋体" w:cs="宋体"/>
          <w:color w:val="auto"/>
          <w:sz w:val="24"/>
          <w:szCs w:val="24"/>
          <w:highlight w:val="none"/>
        </w:rPr>
        <w:t>宿舍淋</w:t>
      </w:r>
      <w:r>
        <w:rPr>
          <w:rFonts w:hint="eastAsia" w:ascii="宋体" w:hAnsi="宋体" w:eastAsia="宋体" w:cs="宋体"/>
          <w:color w:val="auto"/>
          <w:kern w:val="0"/>
          <w:sz w:val="24"/>
          <w:szCs w:val="24"/>
          <w:highlight w:val="none"/>
        </w:rPr>
        <w:t>浴室全部区域内均需考虑周到安全的防滑措施，及时清扫积水和杂物，保持排水、排污畅通。淋浴两喷头之间距离不小于1.1m，其间应有间隔。浴室的更衣柜宜采用光滑、不透水的环保材料，且便于采用84消毒液擦拭。更衣柜（箱）内不得有异味，所有材料采用环保材料，不得对人体有害。充分考虑</w:t>
      </w:r>
      <w:r>
        <w:rPr>
          <w:rFonts w:hint="eastAsia" w:ascii="宋体" w:hAnsi="宋体" w:eastAsia="宋体" w:cs="宋体"/>
          <w:color w:val="auto"/>
          <w:sz w:val="24"/>
          <w:szCs w:val="24"/>
          <w:highlight w:val="none"/>
        </w:rPr>
        <w:t>宿舍淋</w:t>
      </w:r>
      <w:r>
        <w:rPr>
          <w:rFonts w:hint="eastAsia" w:ascii="宋体" w:hAnsi="宋体" w:eastAsia="宋体" w:cs="宋体"/>
          <w:color w:val="auto"/>
          <w:kern w:val="0"/>
          <w:sz w:val="24"/>
          <w:szCs w:val="24"/>
          <w:highlight w:val="none"/>
        </w:rPr>
        <w:t>浴室内部照明、水控机、排风扇等用电安全。</w:t>
      </w:r>
    </w:p>
    <w:p>
      <w:pPr>
        <w:tabs>
          <w:tab w:val="left" w:pos="1290"/>
        </w:tabs>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fldChar w:fldCharType="begin"/>
      </w:r>
      <w:r>
        <w:rPr>
          <w:rFonts w:hint="eastAsia" w:ascii="宋体" w:hAnsi="宋体" w:eastAsia="宋体" w:cs="宋体"/>
          <w:color w:val="auto"/>
          <w:kern w:val="0"/>
          <w:sz w:val="24"/>
          <w:szCs w:val="24"/>
          <w:highlight w:val="none"/>
          <w:lang w:val="zh-CN"/>
        </w:rPr>
        <w:instrText xml:space="preserve"> = 2 \* GB3 </w:instrText>
      </w:r>
      <w:r>
        <w:rPr>
          <w:rFonts w:hint="eastAsia" w:ascii="宋体" w:hAnsi="宋体" w:eastAsia="宋体" w:cs="宋体"/>
          <w:color w:val="auto"/>
          <w:kern w:val="0"/>
          <w:sz w:val="24"/>
          <w:szCs w:val="24"/>
          <w:highlight w:val="none"/>
          <w:lang w:val="zh-CN"/>
        </w:rPr>
        <w:fldChar w:fldCharType="separate"/>
      </w:r>
      <w:r>
        <w:rPr>
          <w:rFonts w:hint="eastAsia" w:ascii="宋体" w:hAnsi="宋体" w:eastAsia="宋体" w:cs="宋体"/>
          <w:color w:val="auto"/>
          <w:kern w:val="0"/>
          <w:sz w:val="24"/>
          <w:szCs w:val="24"/>
          <w:highlight w:val="none"/>
          <w:lang w:val="zh-CN"/>
        </w:rPr>
        <w:t>②</w:t>
      </w:r>
      <w:r>
        <w:rPr>
          <w:rFonts w:hint="eastAsia" w:ascii="宋体" w:hAnsi="宋体" w:eastAsia="宋体" w:cs="宋体"/>
          <w:color w:val="auto"/>
          <w:kern w:val="0"/>
          <w:sz w:val="24"/>
          <w:szCs w:val="24"/>
          <w:highlight w:val="none"/>
          <w:lang w:val="zh-CN"/>
        </w:rPr>
        <w:fldChar w:fldCharType="end"/>
      </w:r>
      <w:r>
        <w:rPr>
          <w:rFonts w:hint="eastAsia" w:ascii="宋体" w:hAnsi="宋体" w:eastAsia="宋体" w:cs="宋体"/>
          <w:color w:val="auto"/>
          <w:sz w:val="24"/>
          <w:szCs w:val="24"/>
          <w:highlight w:val="none"/>
        </w:rPr>
        <w:t>私密性改造：</w:t>
      </w:r>
    </w:p>
    <w:p>
      <w:pPr>
        <w:tabs>
          <w:tab w:val="left" w:pos="1290"/>
        </w:tabs>
        <w:spacing w:line="360" w:lineRule="auto"/>
        <w:ind w:firstLine="480" w:firstLineChars="20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淋浴室大门处做保温门帘，保护同学个人隐私。另淋浴室窗户都使用磨砂纸或百叶格栅等进行改造，保护淋浴同学个人隐私。每个淋浴间设置防潮隔断，且正面设置浴帘，内置防水更衣柜、肥皂架、毛巾架等，洗浴更衣在包厢内完成，有效保护财产安全和隐私。</w:t>
      </w:r>
    </w:p>
    <w:p>
      <w:pPr>
        <w:tabs>
          <w:tab w:val="left" w:pos="1290"/>
        </w:tabs>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3 \* GB3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③</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安全性改造：</w:t>
      </w:r>
    </w:p>
    <w:p>
      <w:pPr>
        <w:tabs>
          <w:tab w:val="left" w:pos="1290"/>
        </w:tabs>
        <w:spacing w:line="360" w:lineRule="auto"/>
        <w:ind w:firstLine="480" w:firstLineChars="20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淋浴区和功能区地面均采取防滑措施，防止学生洗浴过程中滑到，且在地面和墙面设置防滑标识，提醒洗浴时谨慎慢行。淋浴区潮湿，淋浴区内照明、刷卡设备均使用低压电气设备，防止漏电，另配电柜均采用漏电保护开关，多重保护。吊顶采用金属龙骨铝扣板吊顶，样式美观大方，且龙骨采用镀锌材质，确保长时间使用不生锈。淋浴采用不锈钢莲蓬头，可拆卸维护清洗。</w:t>
      </w:r>
    </w:p>
    <w:p>
      <w:pPr>
        <w:tabs>
          <w:tab w:val="left" w:pos="1290"/>
        </w:tabs>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4 \* GB3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④</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舒适性改造：</w:t>
      </w:r>
    </w:p>
    <w:p>
      <w:pPr>
        <w:tabs>
          <w:tab w:val="left" w:pos="1290"/>
        </w:tabs>
        <w:spacing w:line="360" w:lineRule="auto"/>
        <w:ind w:firstLine="480" w:firstLineChars="20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功能区安装梳妆台、梳妆镜，配备梳子等生活用品，提供给学生使用。淋浴区加强排风，设置排风系统，保证室内空间含氧量，杜绝晕堂发生。</w:t>
      </w:r>
    </w:p>
    <w:p>
      <w:pPr>
        <w:widowControl/>
        <w:snapToGrid w:val="0"/>
        <w:spacing w:line="360" w:lineRule="auto"/>
        <w:ind w:firstLine="542" w:firstLineChars="225"/>
        <w:jc w:val="left"/>
        <w:outlineLvl w:val="2"/>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（三）洗衣核心质量要求</w:t>
      </w:r>
    </w:p>
    <w:p>
      <w:pPr>
        <w:widowControl/>
        <w:snapToGrid w:val="0"/>
        <w:spacing w:line="360" w:lineRule="auto"/>
        <w:ind w:firstLine="540" w:firstLineChars="225"/>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1.成交供应商必须提供原装商用滚筒洗衣机，品牌建议为：海尔、美的、小天鹅、创维、荣事达、海信、TCL等国内知名品牌，洗衣机自带桶自洁功能，洗衣机洗涤容量≥7公斤（</w:t>
      </w:r>
      <w:r>
        <w:rPr>
          <w:rFonts w:hint="eastAsia" w:ascii="宋体" w:hAnsi="宋体" w:eastAsia="宋体" w:cs="宋体"/>
          <w:b/>
          <w:color w:val="auto"/>
          <w:sz w:val="24"/>
          <w:szCs w:val="24"/>
          <w:highlight w:val="none"/>
        </w:rPr>
        <w:t>投标人所投的洗衣机洗涤容量小于7公斤的为响应无效</w:t>
      </w:r>
      <w:r>
        <w:rPr>
          <w:rFonts w:hint="eastAsia" w:ascii="宋体" w:hAnsi="宋体" w:eastAsia="宋体" w:cs="宋体"/>
          <w:color w:val="auto"/>
          <w:sz w:val="24"/>
          <w:szCs w:val="24"/>
          <w:highlight w:val="none"/>
        </w:rPr>
        <w:t>）。</w:t>
      </w:r>
    </w:p>
    <w:p>
      <w:pPr>
        <w:widowControl/>
        <w:snapToGrid w:val="0"/>
        <w:spacing w:line="360" w:lineRule="auto"/>
        <w:ind w:firstLine="540" w:firstLineChars="225"/>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商用自助洗衣机的购买、安装、调试、维护、运营和交税等所有费用全部由成交供应商负责承担。成交供应商保证商用自助洗衣机的安全性能，符合安全要求并做好防止漏电等安全措施，在合同期限内，发生任何安全事故概由成交供应商承担赔偿等责任。</w:t>
      </w:r>
    </w:p>
    <w:p>
      <w:pPr>
        <w:widowControl/>
        <w:snapToGrid w:val="0"/>
        <w:spacing w:line="360" w:lineRule="auto"/>
        <w:ind w:firstLine="540" w:firstLineChars="225"/>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3.成交供应商不得在服务场所及设备上投放任何广告宣传。须在服务场所张贴使用说明、使用须知、价格表、服务电话、监督电话。</w:t>
      </w:r>
    </w:p>
    <w:p>
      <w:pPr>
        <w:widowControl/>
        <w:snapToGrid w:val="0"/>
        <w:spacing w:line="360" w:lineRule="auto"/>
        <w:ind w:firstLine="540" w:firstLineChars="225"/>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4.洗衣机使用时洗涤噪音≤68db,脱水噪音≤72db。</w:t>
      </w:r>
    </w:p>
    <w:p>
      <w:pPr>
        <w:widowControl/>
        <w:snapToGrid w:val="0"/>
        <w:spacing w:line="360" w:lineRule="auto"/>
        <w:ind w:firstLine="540" w:firstLineChars="225"/>
        <w:jc w:val="left"/>
        <w:rPr>
          <w:rFonts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5.洗衣机使用场所每日清理，洗衣机每周消毒，并有消毒记录。</w:t>
      </w:r>
    </w:p>
    <w:p>
      <w:pPr>
        <w:widowControl/>
        <w:snapToGrid w:val="0"/>
        <w:spacing w:line="360" w:lineRule="auto"/>
        <w:ind w:firstLine="542" w:firstLineChars="225"/>
        <w:jc w:val="left"/>
        <w:outlineLvl w:val="2"/>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（四）直饮水核心质量要求</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成交供应商提供的直饮水必须符合国家相关标准要求，符合亳州市地方卫生部门相关标准要求。成交供应商必须每学期至少提供1份随机抽检的水质报告，抽检样本和时间由采购人监督确定，请质检部门或卫生防疫部门检测，相关费用由成交供应商承担。采购人有权随时确定抽样、送检。</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2.不分季节，供水必须能满足学生需要，</w:t>
      </w:r>
      <w:r>
        <w:rPr>
          <w:rFonts w:hint="eastAsia" w:ascii="宋体" w:hAnsi="宋体" w:eastAsia="宋体" w:cs="宋体"/>
          <w:b/>
          <w:color w:val="auto"/>
          <w:kern w:val="0"/>
          <w:sz w:val="24"/>
          <w:szCs w:val="24"/>
          <w:highlight w:val="none"/>
          <w:u w:val="single"/>
        </w:rPr>
        <w:t>水温须达到</w:t>
      </w:r>
      <w:r>
        <w:rPr>
          <w:rFonts w:ascii="宋体" w:hAnsi="宋体" w:eastAsia="宋体" w:cs="宋体"/>
          <w:b/>
          <w:color w:val="auto"/>
          <w:kern w:val="0"/>
          <w:sz w:val="24"/>
          <w:szCs w:val="24"/>
          <w:highlight w:val="none"/>
          <w:u w:val="single"/>
        </w:rPr>
        <w:t>95度以上，且水温若低于90度时，不得出水。</w:t>
      </w:r>
    </w:p>
    <w:p>
      <w:pPr>
        <w:widowControl/>
        <w:snapToGrid w:val="0"/>
        <w:spacing w:line="360" w:lineRule="auto"/>
        <w:ind w:firstLine="540" w:firstLineChars="225"/>
        <w:jc w:val="left"/>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zh-CN"/>
        </w:rPr>
        <w:t>3.终端</w:t>
      </w:r>
      <w:r>
        <w:rPr>
          <w:rFonts w:hint="eastAsia" w:ascii="宋体" w:hAnsi="宋体" w:eastAsia="宋体" w:cs="宋体"/>
          <w:bCs/>
          <w:color w:val="auto"/>
          <w:kern w:val="0"/>
          <w:sz w:val="24"/>
          <w:szCs w:val="24"/>
          <w:highlight w:val="none"/>
        </w:rPr>
        <w:t>设备为柜式结构，外观美丽大方、多方位不锈钢梁设计，坚固耐用安全、边角部位均经过严格的抛光处理，平整光滑、其易触及零部件棱边无角且光滑。</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4.一体饮水机可供每层楼至少200人用水所需。</w:t>
      </w:r>
    </w:p>
    <w:p>
      <w:pPr>
        <w:widowControl/>
        <w:snapToGrid w:val="0"/>
        <w:spacing w:line="360" w:lineRule="auto"/>
        <w:ind w:firstLine="542" w:firstLineChars="225"/>
        <w:jc w:val="left"/>
        <w:outlineLvl w:val="2"/>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（五）吹风机核心质量要求</w:t>
      </w:r>
    </w:p>
    <w:p>
      <w:pPr>
        <w:spacing w:line="360" w:lineRule="auto"/>
        <w:ind w:firstLine="480" w:firstLineChars="200"/>
        <w:rPr>
          <w:rFonts w:ascii="宋体" w:hAnsi="宋体" w:eastAsia="宋体" w:cs="宋体"/>
          <w:bCs/>
          <w:color w:val="auto"/>
          <w:kern w:val="0"/>
          <w:sz w:val="24"/>
          <w:szCs w:val="24"/>
          <w:highlight w:val="none"/>
          <w:lang w:val="zh-CN"/>
        </w:rPr>
      </w:pPr>
      <w:r>
        <w:rPr>
          <w:rFonts w:hint="eastAsia" w:ascii="宋体" w:hAnsi="宋体" w:eastAsia="宋体" w:cs="宋体"/>
          <w:color w:val="auto"/>
          <w:sz w:val="24"/>
          <w:szCs w:val="24"/>
          <w:highlight w:val="none"/>
        </w:rPr>
        <w:t>1.</w:t>
      </w:r>
      <w:r>
        <w:rPr>
          <w:rFonts w:hint="eastAsia" w:ascii="宋体" w:hAnsi="宋体" w:eastAsia="宋体" w:cs="宋体"/>
          <w:bCs/>
          <w:color w:val="auto"/>
          <w:kern w:val="0"/>
          <w:sz w:val="24"/>
          <w:szCs w:val="24"/>
          <w:highlight w:val="none"/>
          <w:lang w:val="zh-CN"/>
        </w:rPr>
        <w:t>吹风机最高档位功率1600W—2000W；吹风机电源线需单独布置，根据安装后的实际功率，采用相对应的安全参数国标线。</w:t>
      </w:r>
    </w:p>
    <w:p>
      <w:pPr>
        <w:spacing w:line="360" w:lineRule="auto"/>
        <w:ind w:firstLine="480" w:firstLineChars="200"/>
        <w:rPr>
          <w:rFonts w:ascii="宋体" w:hAnsi="宋体" w:eastAsia="宋体" w:cs="宋体"/>
          <w:bCs/>
          <w:color w:val="auto"/>
          <w:kern w:val="0"/>
          <w:sz w:val="24"/>
          <w:szCs w:val="24"/>
          <w:highlight w:val="none"/>
          <w:lang w:val="zh-CN"/>
        </w:rPr>
      </w:pPr>
      <w:r>
        <w:rPr>
          <w:rFonts w:hint="eastAsia" w:ascii="宋体" w:hAnsi="宋体" w:eastAsia="宋体" w:cs="宋体"/>
          <w:color w:val="auto"/>
          <w:sz w:val="24"/>
          <w:szCs w:val="24"/>
          <w:highlight w:val="none"/>
        </w:rPr>
        <w:t>2.</w:t>
      </w:r>
      <w:r>
        <w:rPr>
          <w:rFonts w:hint="eastAsia" w:ascii="宋体" w:hAnsi="宋体" w:eastAsia="宋体" w:cs="宋体"/>
          <w:bCs/>
          <w:color w:val="auto"/>
          <w:kern w:val="0"/>
          <w:sz w:val="24"/>
          <w:szCs w:val="24"/>
          <w:highlight w:val="none"/>
          <w:lang w:val="zh-CN"/>
        </w:rPr>
        <w:t>具有过热超载保护系统</w:t>
      </w:r>
    </w:p>
    <w:p>
      <w:pPr>
        <w:spacing w:line="360" w:lineRule="auto"/>
        <w:ind w:firstLine="480" w:firstLineChars="200"/>
        <w:rPr>
          <w:rFonts w:ascii="宋体" w:hAnsi="宋体" w:eastAsia="宋体" w:cs="宋体"/>
          <w:bCs/>
          <w:color w:val="auto"/>
          <w:kern w:val="0"/>
          <w:sz w:val="24"/>
          <w:szCs w:val="24"/>
          <w:highlight w:val="none"/>
          <w:lang w:val="zh-CN"/>
        </w:rPr>
      </w:pPr>
      <w:r>
        <w:rPr>
          <w:rFonts w:hint="eastAsia" w:ascii="宋体" w:hAnsi="宋体" w:eastAsia="宋体" w:cs="宋体"/>
          <w:color w:val="auto"/>
          <w:sz w:val="24"/>
          <w:szCs w:val="24"/>
          <w:highlight w:val="none"/>
        </w:rPr>
        <w:t>3.</w:t>
      </w:r>
      <w:r>
        <w:rPr>
          <w:rFonts w:hint="eastAsia" w:ascii="宋体" w:hAnsi="宋体" w:eastAsia="宋体" w:cs="宋体"/>
          <w:bCs/>
          <w:color w:val="auto"/>
          <w:kern w:val="0"/>
          <w:sz w:val="24"/>
          <w:szCs w:val="24"/>
          <w:highlight w:val="none"/>
          <w:lang w:val="zh-CN"/>
        </w:rPr>
        <w:t>如有不正常的电流或超过设定的温度，吹风机会自动停止工作。</w:t>
      </w:r>
    </w:p>
    <w:p>
      <w:pPr>
        <w:spacing w:line="360" w:lineRule="auto"/>
        <w:ind w:firstLine="480" w:firstLineChars="200"/>
        <w:rPr>
          <w:rFonts w:ascii="宋体" w:hAnsi="宋体" w:eastAsia="宋体" w:cs="宋体"/>
          <w:bCs/>
          <w:color w:val="auto"/>
          <w:kern w:val="0"/>
          <w:sz w:val="24"/>
          <w:szCs w:val="24"/>
          <w:highlight w:val="none"/>
          <w:lang w:val="zh-CN"/>
        </w:rPr>
      </w:pPr>
      <w:r>
        <w:rPr>
          <w:rFonts w:hint="eastAsia" w:ascii="宋体" w:hAnsi="宋体" w:eastAsia="宋体" w:cs="宋体"/>
          <w:color w:val="auto"/>
          <w:sz w:val="24"/>
          <w:szCs w:val="24"/>
          <w:highlight w:val="none"/>
        </w:rPr>
        <w:t>4.</w:t>
      </w:r>
      <w:r>
        <w:rPr>
          <w:rFonts w:hint="eastAsia" w:ascii="宋体" w:hAnsi="宋体" w:eastAsia="宋体" w:cs="宋体"/>
          <w:bCs/>
          <w:color w:val="auto"/>
          <w:kern w:val="0"/>
          <w:sz w:val="24"/>
          <w:szCs w:val="24"/>
          <w:highlight w:val="none"/>
          <w:lang w:val="zh-CN"/>
        </w:rPr>
        <w:t>可选档位：两档及以上。</w:t>
      </w:r>
    </w:p>
    <w:p>
      <w:pPr>
        <w:spacing w:line="360" w:lineRule="auto"/>
        <w:ind w:firstLine="480" w:firstLineChars="200"/>
        <w:rPr>
          <w:rFonts w:ascii="宋体" w:hAnsi="宋体" w:eastAsia="宋体" w:cs="宋体"/>
          <w:bCs/>
          <w:color w:val="auto"/>
          <w:kern w:val="0"/>
          <w:sz w:val="24"/>
          <w:szCs w:val="24"/>
          <w:highlight w:val="none"/>
          <w:lang w:val="zh-CN"/>
        </w:rPr>
      </w:pPr>
      <w:r>
        <w:rPr>
          <w:rFonts w:hint="eastAsia" w:ascii="宋体" w:hAnsi="宋体" w:eastAsia="宋体" w:cs="宋体"/>
          <w:color w:val="auto"/>
          <w:sz w:val="24"/>
          <w:szCs w:val="24"/>
          <w:highlight w:val="none"/>
        </w:rPr>
        <w:t>5.</w:t>
      </w:r>
      <w:r>
        <w:rPr>
          <w:rFonts w:hint="eastAsia" w:ascii="宋体" w:hAnsi="宋体" w:eastAsia="宋体" w:cs="宋体"/>
          <w:bCs/>
          <w:color w:val="auto"/>
          <w:kern w:val="0"/>
          <w:sz w:val="24"/>
          <w:szCs w:val="24"/>
          <w:highlight w:val="none"/>
          <w:lang w:val="zh-CN"/>
        </w:rPr>
        <w:t>每个吹风机均带有固定支架。</w:t>
      </w:r>
    </w:p>
    <w:p>
      <w:pPr>
        <w:spacing w:line="360" w:lineRule="auto"/>
        <w:ind w:firstLine="480" w:firstLineChars="200"/>
        <w:rPr>
          <w:rFonts w:ascii="宋体" w:hAnsi="宋体" w:eastAsia="宋体" w:cs="宋体"/>
          <w:bCs/>
          <w:color w:val="auto"/>
          <w:kern w:val="0"/>
          <w:sz w:val="24"/>
          <w:szCs w:val="24"/>
          <w:highlight w:val="none"/>
          <w:lang w:val="zh-CN"/>
        </w:rPr>
      </w:pPr>
      <w:r>
        <w:rPr>
          <w:rFonts w:hint="eastAsia" w:ascii="宋体" w:hAnsi="宋体" w:eastAsia="宋体" w:cs="宋体"/>
          <w:color w:val="auto"/>
          <w:sz w:val="24"/>
          <w:szCs w:val="24"/>
          <w:highlight w:val="none"/>
        </w:rPr>
        <w:t>6.提供的</w:t>
      </w:r>
      <w:r>
        <w:rPr>
          <w:rFonts w:hint="eastAsia" w:ascii="宋体" w:hAnsi="宋体" w:eastAsia="宋体" w:cs="宋体"/>
          <w:bCs/>
          <w:color w:val="auto"/>
          <w:kern w:val="0"/>
          <w:sz w:val="24"/>
          <w:szCs w:val="24"/>
          <w:highlight w:val="none"/>
          <w:lang w:val="zh-CN"/>
        </w:rPr>
        <w:t>吹风机必须是具有3C证书。</w:t>
      </w:r>
    </w:p>
    <w:p>
      <w:pPr>
        <w:spacing w:line="360" w:lineRule="auto"/>
        <w:ind w:firstLine="480" w:firstLineChars="200"/>
        <w:rPr>
          <w:rFonts w:ascii="宋体" w:hAnsi="宋体" w:eastAsia="宋体" w:cs="宋体"/>
          <w:bCs/>
          <w:color w:val="auto"/>
          <w:kern w:val="0"/>
          <w:sz w:val="24"/>
          <w:szCs w:val="24"/>
          <w:highlight w:val="none"/>
          <w:lang w:val="zh-CN"/>
        </w:rPr>
      </w:pPr>
      <w:r>
        <w:rPr>
          <w:rFonts w:hint="eastAsia" w:ascii="宋体" w:hAnsi="宋体" w:eastAsia="宋体" w:cs="宋体"/>
          <w:bCs/>
          <w:color w:val="auto"/>
          <w:kern w:val="0"/>
          <w:sz w:val="24"/>
          <w:szCs w:val="24"/>
          <w:highlight w:val="none"/>
          <w:lang w:val="zh-CN"/>
        </w:rPr>
        <w:t>7.学生选择付费至少包含三种：2分钟、5分钟、10分钟。</w:t>
      </w:r>
    </w:p>
    <w:p>
      <w:pPr>
        <w:widowControl/>
        <w:snapToGrid w:val="0"/>
        <w:spacing w:line="360" w:lineRule="auto"/>
        <w:ind w:firstLine="542" w:firstLineChars="225"/>
        <w:jc w:val="left"/>
        <w:outlineLvl w:val="1"/>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六、管理要求</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1.项目工期要求：合同签订后，根据工程工期及开学要求，在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规定时间内必须完成改造、设备安装、调试等所有工作并经验收合格，项目工期按照采购人人要求，从合同生效时起至验收出具合格意见时止。每超一天成交供应商须向采购人缴10000元违约金，超期达7天，则采购人有权单方面解除合同，并不退还履约保证金。</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安装施工的要求：安装施工方案（含水电线路施工图纸等）必须书面报采购人审批后方可实施，不得破坏建筑物的结构和承载能力，不得破坏建筑物附属设施，不得影响建筑物的美观；保证施工安全、做好施工环保措施，环境卫生清洁，垃圾及时运出校园。</w:t>
      </w:r>
      <w:r>
        <w:rPr>
          <w:rFonts w:hint="eastAsia" w:ascii="宋体" w:hAnsi="宋体" w:eastAsia="宋体" w:cs="宋体"/>
          <w:color w:val="auto"/>
          <w:kern w:val="0"/>
          <w:sz w:val="24"/>
          <w:szCs w:val="24"/>
          <w:highlight w:val="none"/>
          <w:lang w:val="zh-CN"/>
        </w:rPr>
        <w:t>供电线路铺设按采购人指定位置规范接电、铺设（含接线柜、电气开关、计量表具、电缆等及辅材）；供水管线按采购人指定位置规范接水、铺设（含阀门、计量表具、水管等及辅材）；浴室排污管道接入校园主污水管道。</w:t>
      </w:r>
      <w:r>
        <w:rPr>
          <w:rFonts w:hint="eastAsia" w:ascii="宋体" w:hAnsi="宋体" w:eastAsia="宋体" w:cs="宋体"/>
          <w:color w:val="auto"/>
          <w:kern w:val="0"/>
          <w:sz w:val="24"/>
          <w:szCs w:val="24"/>
          <w:highlight w:val="none"/>
          <w:u w:val="single"/>
          <w:lang w:val="zh-CN"/>
        </w:rPr>
        <w:t>学生宿舍1号楼的设计图纸详见附件（其他宿舍楼与1号楼类似，区别仅在于洗浴等场所位置不同，具体可现场勘察），宿舍每栋楼（南北两组）设计电气用电负荷：开水器90KW，吹风机15KW，洗衣机15KW，屋面太阳能热水设备40KW。成交供应商所供设备应为节能技术产品，且总用电负荷满足采购人要求。</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成交供应商须安排专门团队在亳州学院内负责管理、安全检查、维保、保洁、处理学生投诉等工作。确保用电、用水安全，若出现质量投诉、安全责任事故或卫生责任事故，责任由成交供应商全部承担，若出现安全责任事故或卫生责任事故，采购人可单方解除合同并不退还履约保证金或质保金，并按后述“强制退出”约定处理。成交供应商须在签订合同后任命项目管理团队成员（管理团队的负责人须为公司正式员工），管理团队人员不足时，成交供应商须无条件增加人员。</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4.成交供应商必须服从采购人管理，服务于学生，不得影响学生正常生活、教学秩序，否则，采购人有权单方面终止合同并不退还履约保证金或质保金。</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5.不定期通过教职工或学生对水质和服务进行评价，发现问题必须整改。不能及时整改合格又不能妥善处理的，计“重大违约”一次。</w:t>
      </w:r>
    </w:p>
    <w:p>
      <w:pPr>
        <w:widowControl/>
        <w:snapToGrid w:val="0"/>
        <w:spacing w:line="360" w:lineRule="auto"/>
        <w:ind w:firstLine="540" w:firstLineChars="225"/>
        <w:jc w:val="left"/>
        <w:rPr>
          <w:rFonts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u w:val="single"/>
        </w:rPr>
        <w:t>6．</w:t>
      </w:r>
      <w:r>
        <w:rPr>
          <w:rFonts w:hint="eastAsia" w:ascii="宋体" w:hAnsi="宋体" w:eastAsia="宋体" w:cs="宋体"/>
          <w:color w:val="auto"/>
          <w:kern w:val="0"/>
          <w:sz w:val="24"/>
          <w:szCs w:val="24"/>
          <w:highlight w:val="none"/>
        </w:rPr>
        <w:t>成交供应商</w:t>
      </w:r>
      <w:r>
        <w:rPr>
          <w:rFonts w:hint="eastAsia" w:ascii="宋体" w:hAnsi="宋体" w:eastAsia="宋体" w:cs="宋体"/>
          <w:color w:val="auto"/>
          <w:kern w:val="0"/>
          <w:sz w:val="24"/>
          <w:szCs w:val="24"/>
          <w:highlight w:val="none"/>
          <w:u w:val="single"/>
        </w:rPr>
        <w:t>须采取符合消防要求的措施，在服务场所配备消防设施、设备，保证消防通道畅通等，满足消防安全要求。</w:t>
      </w:r>
      <w:r>
        <w:rPr>
          <w:rFonts w:hint="eastAsia" w:ascii="宋体" w:hAnsi="宋体" w:eastAsia="宋体" w:cs="宋体"/>
          <w:color w:val="auto"/>
          <w:kern w:val="0"/>
          <w:sz w:val="24"/>
          <w:szCs w:val="24"/>
          <w:highlight w:val="none"/>
        </w:rPr>
        <w:t>成交供应商</w:t>
      </w:r>
      <w:r>
        <w:rPr>
          <w:rFonts w:hint="eastAsia" w:ascii="宋体" w:hAnsi="宋体" w:eastAsia="宋体" w:cs="宋体"/>
          <w:color w:val="auto"/>
          <w:kern w:val="0"/>
          <w:sz w:val="24"/>
          <w:szCs w:val="24"/>
          <w:highlight w:val="none"/>
          <w:u w:val="single"/>
        </w:rPr>
        <w:t>要服从采购人安全、文明创建、综合治理等管理。</w:t>
      </w:r>
    </w:p>
    <w:p>
      <w:pPr>
        <w:snapToGrid w:val="0"/>
        <w:spacing w:line="360" w:lineRule="auto"/>
        <w:ind w:firstLine="482" w:firstLineChars="200"/>
        <w:jc w:val="left"/>
        <w:outlineLvl w:val="1"/>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七、报价要求</w:t>
      </w:r>
    </w:p>
    <w:p>
      <w:pPr>
        <w:spacing w:line="360" w:lineRule="auto"/>
        <w:ind w:firstLine="480"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本项目须分别报</w:t>
      </w:r>
      <w:r>
        <w:rPr>
          <w:rFonts w:hint="eastAsia" w:asciiTheme="minorEastAsia" w:hAnsiTheme="minorEastAsia" w:eastAsiaTheme="minorEastAsia" w:cstheme="minorEastAsia"/>
          <w:b/>
          <w:bCs/>
          <w:color w:val="auto"/>
          <w:sz w:val="24"/>
          <w:szCs w:val="24"/>
          <w:highlight w:val="none"/>
        </w:rPr>
        <w:t>各类型的综合单价：</w:t>
      </w:r>
    </w:p>
    <w:p>
      <w:pPr>
        <w:widowControl/>
        <w:snapToGrid w:val="0"/>
        <w:spacing w:line="360" w:lineRule="auto"/>
        <w:ind w:firstLine="542" w:firstLineChars="225"/>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洗浴热水价格：   元/升，单脱水：   元/次，快速洗：   元/次，标准洗：   元/次，直饮开水价格：   元/升，自助吹风价格：   元/分钟。综合单价包含人员工资、税费、设备使用等一切费用，缺项报价则响应无效。上述报价均不得为0。</w:t>
      </w:r>
    </w:p>
    <w:p>
      <w:pPr>
        <w:widowControl/>
        <w:snapToGrid w:val="0"/>
        <w:spacing w:line="360" w:lineRule="auto"/>
        <w:ind w:firstLine="542" w:firstLineChars="225"/>
        <w:jc w:val="left"/>
        <w:outlineLvl w:val="1"/>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  要求：洗浴热水报价若低于0.02元/升,直饮开水报价若低于0.06元/升,自助吹风报价若低于0.02元/分钟，则必须给出合理的成本核算说明,并提交相关证明材料，若报价不合理，由磋商小组评审响应是否有效。八、其他说明事项</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成交供应商必须自主管理、服务，不得转包或出租他人，若出现转包或出租他人，采购人可单方解除合同并不退还履约保证金或质保金，并按后述“强制退出”约定处理。成交供应商应根据市卫生部门有关规定，制订各项管理制度，并严格按照制度执行和操作。派驻到采购人工作的员工，须取得卫生部门所颁发的《健康证》并及时报采购人备案。</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遵守采购人各项制度，无条件服从采购人和有关部门的监督管理和检查指导。对检查中提出的问题，成交供应商必须书面承诺限期整改。采购人有重大活动或放假等情况，需要解决短期或临时服务保障，成交供应商必须无条件服从安排。</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3.未经采购人和有关部门许可，服务场所严禁自行隔断、搭建或改造，并自觉接受检查指导。</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4.卫生责任区范围为所服务场所及周边（成交后现场划定卫生责任区域），卫生保洁等工作必须安排有专人负责，保洁标准应符合采购人的统一要求。</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5.采购人保证水、电的正常供应。如因供水、供电的原因造成不能正常供水、电的，成交供应商应主动采取应急保障措施，采购人予以配合。</w:t>
      </w:r>
    </w:p>
    <w:p>
      <w:pPr>
        <w:widowControl/>
        <w:snapToGrid w:val="0"/>
        <w:spacing w:line="360" w:lineRule="auto"/>
        <w:ind w:firstLine="540" w:firstLineChars="225"/>
        <w:jc w:val="left"/>
        <w:rPr>
          <w:rFonts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u w:val="single"/>
        </w:rPr>
        <w:t>6.采购人总共7栋学生宿舍，每栋5层，共35层。成交供应商设立勤工助学岗位，实际安排的勤工助学岗位，根据实际投入使用的楼层数来测算。</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7.根据采购人的实际需要，在服务达到要求的前提下，采购人如有需求并经采购人研究同意的情况下，该项目可以扩展到采购人的其他楼宇，但价格不得上调。</w:t>
      </w:r>
    </w:p>
    <w:p>
      <w:pPr>
        <w:widowControl/>
        <w:snapToGrid w:val="0"/>
        <w:spacing w:line="360" w:lineRule="auto"/>
        <w:ind w:firstLine="540" w:firstLineChars="225"/>
        <w:jc w:val="left"/>
        <w:outlineLvl w:val="1"/>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九、违约考核主要内容</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成交供应商超成交价收费或不按前述规定“第五条服务要求第（一）款第2点计费要求”计费，一经查实，在限定期限内必须整改且赔偿学生损失，并须向采购人缴5000元的违约金（每次）。拒不整改或造成舆情的，采购人有权单方面解除合同、不退还履约保证金。</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2.未经采购人同意，成交供应商采取其他收费方式收费的，除限期内整改且赔偿学生损失，并须向采购人缴20000元的违约金（每次）。拒不整改或不缴违约金的，采购人有权单方面解除合同、不退还履约保证金。</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3.若履约保证金以保函形式，不能提前2个月递交下一阶段保函，每延迟一天须向采购人缴纳1000元违约金，超过10天的，招标人有权单方面解除合同、不退还履约保证金。</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4.成交供应商不能落实卫生责任，采购人检查发现一次卫生不合格或其他渠道反应属实的，须向采购人缴500元的违约金并限期整改。</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5.因服务质量问题，学生通过投诉电话、校长热线、校长信箱、市长热线等反应质量问题，查证属实的，每次须向采购人缴1000元的违约金并限期整改。</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6.成交供应商拒不更换服务不合格人员的，每次须向采购人缴5000元违约金并限期整改合格。拒不更换不能正常使用的设施、设备的，每次须向采购人缴20000元违约金并限期整改合格。</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成交供应商违约，不能在限定期限内整改合格又不能妥善处理的，除按违约情况向采购人缴纳违约金外，还须向采购人缴20000元（每次）的违约金，并记“重大违约”一次。采购人有权妥托其他机构或人员代为管理，涉及到的人员或设备更换费用均须成交供应商承担。</w:t>
      </w:r>
    </w:p>
    <w:p>
      <w:pPr>
        <w:widowControl/>
        <w:snapToGrid w:val="0"/>
        <w:spacing w:line="360" w:lineRule="auto"/>
        <w:ind w:firstLine="540" w:firstLineChars="225"/>
        <w:jc w:val="left"/>
        <w:rPr>
          <w:rFonts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u w:val="single"/>
        </w:rPr>
        <w:t>违约考核内容包含且不限于上述7条，采购人有权根据项目管理服务需要，拟订更加细致的考核内容，并约定违约责任，成交供应商无条件同意。违约责任中的违约金，若中标人不按时缴纳，则成交供应商有权从保证金中扣除或从营业额中直接扣除。</w:t>
      </w:r>
    </w:p>
    <w:p>
      <w:pPr>
        <w:widowControl/>
        <w:snapToGrid w:val="0"/>
        <w:spacing w:line="360" w:lineRule="auto"/>
        <w:ind w:firstLine="540" w:firstLineChars="225"/>
        <w:jc w:val="left"/>
        <w:outlineLvl w:val="1"/>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十、退出机制</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采购人对成交供应商实行考核淘汰退出机制。</w:t>
      </w:r>
    </w:p>
    <w:p>
      <w:pPr>
        <w:widowControl/>
        <w:snapToGrid w:val="0"/>
        <w:spacing w:line="360" w:lineRule="auto"/>
        <w:ind w:firstLine="540" w:firstLineChars="225"/>
        <w:jc w:val="left"/>
        <w:outlineLvl w:val="2"/>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（一）正常退出</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1．合同到期自动终止，正常退出</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合同到期后，根据合同约定，双方结清相关费用，办理移交手续后，成交供应商退场，合同自动终止。</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2．成交供应商提前退出</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（1）出现不可抗力（如地震、海啸、台风、洪水等自然灾害，如国家政策、法律、行政措拖等政府行为），成交供应商可提前退出，未尽事宜双方协商解决，双方互不承担违约责任。</w:t>
      </w:r>
    </w:p>
    <w:p>
      <w:pPr>
        <w:widowControl/>
        <w:snapToGrid w:val="0"/>
        <w:spacing w:line="360" w:lineRule="auto"/>
        <w:ind w:firstLine="540" w:firstLineChars="225"/>
        <w:jc w:val="left"/>
        <w:rPr>
          <w:rFonts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2）因其他特殊原因成交供应商无法继续经营，应提前至少三个月书面申请，经采购人研究批准，待采购人按程序完成下一轮服务商的招标采购后，办理相关移交手续后，终止合同。成交供应商不予退还履约保证金，暂不予结算已经产生的经营营业额。在过渡期内，成交供应商须无条件继续保证正常服务，直至按照采购人要求移交，否则，造成的一切后果由成交供应商承担，成交供应商双倍赔偿采购人损失。</w:t>
      </w:r>
    </w:p>
    <w:p>
      <w:pPr>
        <w:widowControl/>
        <w:snapToGrid w:val="0"/>
        <w:spacing w:line="360" w:lineRule="auto"/>
        <w:ind w:firstLine="540" w:firstLineChars="225"/>
        <w:jc w:val="left"/>
        <w:outlineLvl w:val="2"/>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（二）强制退出</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对引进的成交供应商，在合同期间内出现下列情况之一，采购人有权单方面解除合同，责令退场。</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1．发生安全、卫生责任事故，造成重大影响，与成交供应商有关的。</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2．引进的成交供应商违反学院社会管理综合治理规定，给采购人造成重大不良影响的。</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3．引进的成交供应商在合同期内履约违法而受到司法部门或行业主管部门处理的。</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4．“重大违约”累计达到3次的。</w:t>
      </w:r>
    </w:p>
    <w:p>
      <w:pPr>
        <w:widowControl/>
        <w:snapToGrid w:val="0"/>
        <w:spacing w:line="360" w:lineRule="auto"/>
        <w:ind w:firstLine="540" w:firstLineChars="225"/>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5．因服务质量存在问题等，引发群体事件影响恶劣的。</w:t>
      </w:r>
    </w:p>
    <w:p>
      <w:pPr>
        <w:widowControl/>
        <w:snapToGrid w:val="0"/>
        <w:spacing w:line="360" w:lineRule="auto"/>
        <w:ind w:firstLine="540" w:firstLineChars="225"/>
        <w:jc w:val="left"/>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6．服务期间，出现转包、转租情况的。</w:t>
      </w:r>
    </w:p>
    <w:p>
      <w:pPr>
        <w:widowControl/>
        <w:snapToGrid w:val="0"/>
        <w:spacing w:line="360" w:lineRule="auto"/>
        <w:ind w:firstLine="540" w:firstLineChars="225"/>
        <w:jc w:val="left"/>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7．不按时缴纳保证金或按时提交保函的。</w:t>
      </w:r>
    </w:p>
    <w:p>
      <w:pPr>
        <w:widowControl/>
        <w:snapToGrid w:val="0"/>
        <w:spacing w:line="360" w:lineRule="auto"/>
        <w:ind w:firstLine="540" w:firstLineChars="225"/>
        <w:jc w:val="left"/>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8．发现成交供应商从响应环节开始直至服务期内，有弄虚作假行为的。</w:t>
      </w:r>
    </w:p>
    <w:p>
      <w:pPr>
        <w:widowControl/>
        <w:snapToGrid w:val="0"/>
        <w:spacing w:line="360" w:lineRule="auto"/>
        <w:ind w:firstLine="540" w:firstLineChars="225"/>
        <w:jc w:val="left"/>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强制退出的条件包括且不限于上述8条，凡强制退出的成交供应商须承担由此产生的一切经济损失及法律责任，不予退还成交供应商的保证金，暂不予结算已经产生的经营营业额。</w:t>
      </w:r>
    </w:p>
    <w:p>
      <w:pPr>
        <w:spacing w:line="360" w:lineRule="auto"/>
        <w:ind w:firstLine="480" w:firstLineChars="200"/>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在采购人成功完成新的招标、新一轮成交供应商入驻之前，本项目成交供应商在接到强制退出通知七日内退场（成交供应商服务人员离场，所有设施、设备均不得改变或拆除，采购人有权委托第三方服务人员接管成交供应商施工的设施、设备，第三方管理服务的费用、更换的设施设备费用和更换的耗材费用从成交供应商的经营营业额中扣除）。新一轮成交供应商确定、入场之后，采购人与该项目原成交供应商按合同约定办理相关移交手续后，合同终止。</w:t>
      </w:r>
    </w:p>
    <w:p>
      <w:pPr>
        <w:spacing w:line="360" w:lineRule="auto"/>
        <w:ind w:firstLine="480" w:firstLineChars="200"/>
        <w:outlineLvl w:val="2"/>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（三）其他</w:t>
      </w:r>
    </w:p>
    <w:p>
      <w:pPr>
        <w:spacing w:line="360" w:lineRule="auto"/>
        <w:ind w:firstLine="480" w:firstLineChars="200"/>
      </w:pPr>
      <w:r>
        <w:rPr>
          <w:rFonts w:hint="eastAsia" w:ascii="宋体" w:hAnsi="宋体" w:eastAsia="宋体" w:cs="宋体"/>
          <w:color w:val="auto"/>
          <w:kern w:val="0"/>
          <w:sz w:val="24"/>
          <w:szCs w:val="24"/>
          <w:highlight w:val="none"/>
          <w:u w:val="none"/>
        </w:rPr>
        <w:t>不论是正常合同到期退场还是被强制退场，成交供应商须在接到退场通知后，在约定时间内退场，否则，采购人有权自主处置成交供应商的所有资产并不给予任何费用补偿。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02576"/>
    <w:rsid w:val="27952F4D"/>
    <w:rsid w:val="3E602576"/>
    <w:rsid w:val="3F0A2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spacing w:line="200" w:lineRule="atLeast"/>
      <w:ind w:firstLine="301"/>
    </w:pPr>
    <w:rPr>
      <w:rFonts w:ascii="宋体" w:hAnsi="Courier New"/>
      <w:spacing w:val="-4"/>
      <w:sz w:val="18"/>
    </w:rPr>
  </w:style>
  <w:style w:type="paragraph" w:styleId="4">
    <w:name w:val="envelope return"/>
    <w:basedOn w:val="1"/>
    <w:unhideWhenUsed/>
    <w:qFormat/>
    <w:uiPriority w:val="99"/>
    <w:pPr>
      <w:snapToGrid w:val="0"/>
    </w:pPr>
    <w:rPr>
      <w:rFonts w:ascii="Arial" w:hAnsi="Arial"/>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D&amp;L"/>
    <w:basedOn w:val="5"/>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9">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2022-02-16T07:45:00Z</dcterms:created>
  <dc:creator>Administrator</dc:creator>
  <cp:lastModifiedBy>苏荷1384404939</cp:lastModifiedBy>
  <dcterms:modified xsi:type="dcterms:W3CDTF">2022-02-17T01:25:38Z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32C9F15E9C5E4D5C86E04358BA2CCB49</vt:lpwstr>
  </property>
</Properties>
</file>